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508"/>
        <w:gridCol w:w="4508"/>
      </w:tblGrid>
      <w:tr w:rsidR="007A73F4" w14:paraId="79F5279B" w14:textId="77777777" w:rsidTr="007A73F4">
        <w:tc>
          <w:tcPr>
            <w:tcW w:w="4508" w:type="dxa"/>
          </w:tcPr>
          <w:p w14:paraId="0F7BC3A2" w14:textId="77777777" w:rsidR="007A73F4" w:rsidRPr="007A73F4" w:rsidRDefault="007A73F4">
            <w:pPr>
              <w:rPr>
                <w:i/>
                <w:sz w:val="28"/>
                <w:szCs w:val="28"/>
              </w:rPr>
            </w:pPr>
            <w:commentRangeStart w:id="0"/>
            <w:r w:rsidRPr="007A73F4">
              <w:rPr>
                <w:i/>
                <w:sz w:val="28"/>
                <w:szCs w:val="28"/>
              </w:rPr>
              <w:t>Chandos</w:t>
            </w:r>
            <w:commentRangeEnd w:id="0"/>
            <w:r w:rsidR="00C70559">
              <w:rPr>
                <w:rStyle w:val="CommentReference"/>
              </w:rPr>
              <w:commentReference w:id="0"/>
            </w:r>
            <w:r w:rsidRPr="007A73F4">
              <w:rPr>
                <w:i/>
                <w:sz w:val="28"/>
                <w:szCs w:val="28"/>
              </w:rPr>
              <w:t xml:space="preserve"> &amp; Dent’s </w:t>
            </w:r>
            <w:proofErr w:type="spellStart"/>
            <w:r w:rsidRPr="007A73F4">
              <w:rPr>
                <w:i/>
                <w:sz w:val="28"/>
                <w:szCs w:val="28"/>
              </w:rPr>
              <w:t>Almshouses</w:t>
            </w:r>
            <w:proofErr w:type="spellEnd"/>
          </w:p>
        </w:tc>
        <w:tc>
          <w:tcPr>
            <w:tcW w:w="4508" w:type="dxa"/>
          </w:tcPr>
          <w:p w14:paraId="1A0CD933" w14:textId="409C0B6D" w:rsidR="007A73F4" w:rsidRPr="007A73F4" w:rsidRDefault="007A73F4">
            <w:pPr>
              <w:rPr>
                <w:i/>
                <w:sz w:val="28"/>
                <w:szCs w:val="28"/>
              </w:rPr>
            </w:pPr>
            <w:r w:rsidRPr="007A73F4">
              <w:rPr>
                <w:i/>
                <w:sz w:val="28"/>
                <w:szCs w:val="28"/>
              </w:rPr>
              <w:t xml:space="preserve">Investment </w:t>
            </w:r>
            <w:r w:rsidR="00ED3C80">
              <w:rPr>
                <w:i/>
                <w:sz w:val="28"/>
                <w:szCs w:val="28"/>
              </w:rPr>
              <w:t xml:space="preserve">and Reserves </w:t>
            </w:r>
            <w:r w:rsidRPr="007A73F4">
              <w:rPr>
                <w:i/>
                <w:sz w:val="28"/>
                <w:szCs w:val="28"/>
              </w:rPr>
              <w:t>Policy</w:t>
            </w:r>
          </w:p>
        </w:tc>
      </w:tr>
      <w:tr w:rsidR="007A73F4" w14:paraId="798215C2" w14:textId="77777777" w:rsidTr="007A73F4">
        <w:tc>
          <w:tcPr>
            <w:tcW w:w="4508" w:type="dxa"/>
          </w:tcPr>
          <w:p w14:paraId="4CFD5A59" w14:textId="77777777" w:rsidR="007A73F4" w:rsidRPr="007A73F4" w:rsidRDefault="007A73F4">
            <w:pPr>
              <w:rPr>
                <w:i/>
                <w:sz w:val="28"/>
                <w:szCs w:val="28"/>
              </w:rPr>
            </w:pPr>
            <w:r w:rsidRPr="007A73F4">
              <w:rPr>
                <w:i/>
                <w:sz w:val="28"/>
                <w:szCs w:val="28"/>
              </w:rPr>
              <w:t>Owner</w:t>
            </w:r>
          </w:p>
        </w:tc>
        <w:tc>
          <w:tcPr>
            <w:tcW w:w="4508" w:type="dxa"/>
          </w:tcPr>
          <w:p w14:paraId="2E7FD7AF" w14:textId="77777777" w:rsidR="007A73F4" w:rsidRPr="007A73F4" w:rsidRDefault="007A73F4">
            <w:pPr>
              <w:rPr>
                <w:i/>
                <w:sz w:val="28"/>
                <w:szCs w:val="28"/>
              </w:rPr>
            </w:pPr>
            <w:r w:rsidRPr="007A73F4">
              <w:rPr>
                <w:i/>
                <w:sz w:val="28"/>
                <w:szCs w:val="28"/>
              </w:rPr>
              <w:t>Finance &amp; Admin</w:t>
            </w:r>
          </w:p>
        </w:tc>
      </w:tr>
      <w:tr w:rsidR="007A73F4" w14:paraId="6648C0D4" w14:textId="77777777" w:rsidTr="007A73F4">
        <w:tc>
          <w:tcPr>
            <w:tcW w:w="4508" w:type="dxa"/>
          </w:tcPr>
          <w:p w14:paraId="0E89B4BB" w14:textId="77777777" w:rsidR="007A73F4" w:rsidRPr="007A73F4" w:rsidRDefault="007A73F4">
            <w:pPr>
              <w:rPr>
                <w:i/>
                <w:sz w:val="28"/>
                <w:szCs w:val="28"/>
              </w:rPr>
            </w:pPr>
            <w:r w:rsidRPr="007A73F4">
              <w:rPr>
                <w:i/>
                <w:sz w:val="28"/>
                <w:szCs w:val="28"/>
              </w:rPr>
              <w:t>Author</w:t>
            </w:r>
          </w:p>
        </w:tc>
        <w:tc>
          <w:tcPr>
            <w:tcW w:w="4508" w:type="dxa"/>
          </w:tcPr>
          <w:p w14:paraId="53E72A25" w14:textId="77777777" w:rsidR="007A73F4" w:rsidRPr="007A73F4" w:rsidRDefault="007A73F4">
            <w:pPr>
              <w:rPr>
                <w:i/>
                <w:sz w:val="28"/>
                <w:szCs w:val="28"/>
              </w:rPr>
            </w:pPr>
            <w:r w:rsidRPr="007A73F4">
              <w:rPr>
                <w:i/>
                <w:sz w:val="28"/>
                <w:szCs w:val="28"/>
              </w:rPr>
              <w:t>Martin Blackwell</w:t>
            </w:r>
          </w:p>
        </w:tc>
      </w:tr>
      <w:tr w:rsidR="007A73F4" w14:paraId="3D479526" w14:textId="77777777" w:rsidTr="007A73F4">
        <w:tc>
          <w:tcPr>
            <w:tcW w:w="4508" w:type="dxa"/>
          </w:tcPr>
          <w:p w14:paraId="101A7ABB" w14:textId="77777777" w:rsidR="007A73F4" w:rsidRPr="007A73F4" w:rsidRDefault="007A73F4">
            <w:pPr>
              <w:rPr>
                <w:i/>
                <w:sz w:val="28"/>
                <w:szCs w:val="28"/>
              </w:rPr>
            </w:pPr>
            <w:r w:rsidRPr="007A73F4">
              <w:rPr>
                <w:i/>
                <w:sz w:val="28"/>
                <w:szCs w:val="28"/>
              </w:rPr>
              <w:t>Created or last revision</w:t>
            </w:r>
          </w:p>
        </w:tc>
        <w:tc>
          <w:tcPr>
            <w:tcW w:w="4508" w:type="dxa"/>
          </w:tcPr>
          <w:p w14:paraId="62E3191F" w14:textId="62084409" w:rsidR="007A73F4" w:rsidRPr="007A73F4" w:rsidRDefault="000853D3">
            <w:pPr>
              <w:rPr>
                <w:i/>
                <w:sz w:val="28"/>
                <w:szCs w:val="28"/>
              </w:rPr>
            </w:pPr>
            <w:r>
              <w:rPr>
                <w:i/>
                <w:sz w:val="28"/>
                <w:szCs w:val="28"/>
              </w:rPr>
              <w:t>03/02/2021</w:t>
            </w:r>
          </w:p>
        </w:tc>
      </w:tr>
      <w:tr w:rsidR="007A73F4" w14:paraId="6BE1D305" w14:textId="77777777" w:rsidTr="007A73F4">
        <w:tc>
          <w:tcPr>
            <w:tcW w:w="4508" w:type="dxa"/>
          </w:tcPr>
          <w:p w14:paraId="7E31B94E" w14:textId="77777777" w:rsidR="007A73F4" w:rsidRPr="007A73F4" w:rsidRDefault="007A73F4">
            <w:pPr>
              <w:rPr>
                <w:i/>
                <w:sz w:val="28"/>
                <w:szCs w:val="28"/>
              </w:rPr>
            </w:pPr>
            <w:r w:rsidRPr="007A73F4">
              <w:rPr>
                <w:i/>
                <w:sz w:val="28"/>
                <w:szCs w:val="28"/>
              </w:rPr>
              <w:t>Review Date</w:t>
            </w:r>
          </w:p>
        </w:tc>
        <w:tc>
          <w:tcPr>
            <w:tcW w:w="4508" w:type="dxa"/>
          </w:tcPr>
          <w:p w14:paraId="549ED1C2" w14:textId="6B6F30F5" w:rsidR="007A73F4" w:rsidRPr="007A73F4" w:rsidRDefault="000853D3">
            <w:pPr>
              <w:rPr>
                <w:i/>
                <w:sz w:val="28"/>
                <w:szCs w:val="28"/>
              </w:rPr>
            </w:pPr>
            <w:r>
              <w:rPr>
                <w:i/>
                <w:sz w:val="28"/>
                <w:szCs w:val="28"/>
              </w:rPr>
              <w:t>03/02/2024</w:t>
            </w:r>
          </w:p>
        </w:tc>
      </w:tr>
    </w:tbl>
    <w:p w14:paraId="516954F6" w14:textId="77777777" w:rsidR="00455F93" w:rsidRPr="00ED53DD" w:rsidRDefault="00455F93">
      <w:pPr>
        <w:rPr>
          <w:i/>
        </w:rPr>
      </w:pPr>
    </w:p>
    <w:p w14:paraId="50ED3BCE" w14:textId="77777777" w:rsidR="00455F93" w:rsidRDefault="00455F93"/>
    <w:p w14:paraId="381C30E4" w14:textId="77777777" w:rsidR="00455F93" w:rsidRPr="007A73F4" w:rsidRDefault="00455F93">
      <w:pPr>
        <w:rPr>
          <w:sz w:val="28"/>
          <w:szCs w:val="28"/>
        </w:rPr>
      </w:pPr>
    </w:p>
    <w:p w14:paraId="2C8C799D" w14:textId="77777777" w:rsidR="00455F93" w:rsidRPr="007A73F4" w:rsidRDefault="00455F93" w:rsidP="00455F93">
      <w:pPr>
        <w:rPr>
          <w:b/>
          <w:sz w:val="28"/>
          <w:szCs w:val="28"/>
        </w:rPr>
      </w:pPr>
      <w:r w:rsidRPr="007A73F4">
        <w:rPr>
          <w:b/>
          <w:sz w:val="28"/>
          <w:szCs w:val="28"/>
        </w:rPr>
        <w:t>1</w:t>
      </w:r>
      <w:r w:rsidRPr="007A73F4">
        <w:rPr>
          <w:b/>
          <w:sz w:val="28"/>
          <w:szCs w:val="28"/>
        </w:rPr>
        <w:tab/>
        <w:t>Scope of Investment Powers</w:t>
      </w:r>
      <w:r w:rsidRPr="007A73F4">
        <w:rPr>
          <w:b/>
          <w:sz w:val="28"/>
          <w:szCs w:val="28"/>
        </w:rPr>
        <w:br/>
      </w:r>
    </w:p>
    <w:p w14:paraId="1A1AE8CB" w14:textId="59EA2F6B" w:rsidR="00F73D99" w:rsidRPr="00CE0879" w:rsidRDefault="00455F93" w:rsidP="00F73D99">
      <w:pPr>
        <w:rPr>
          <w:rFonts w:eastAsia="Times New Roman" w:cstheme="minorHAnsi"/>
          <w:sz w:val="28"/>
          <w:szCs w:val="28"/>
          <w:lang w:eastAsia="en-GB"/>
        </w:rPr>
      </w:pPr>
      <w:r w:rsidRPr="00ED3C80">
        <w:rPr>
          <w:rFonts w:cstheme="minorHAnsi"/>
          <w:sz w:val="28"/>
          <w:szCs w:val="28"/>
        </w:rPr>
        <w:t xml:space="preserve">The Charity has the power to </w:t>
      </w:r>
      <w:r w:rsidR="00F73D99" w:rsidRPr="00CE0879">
        <w:rPr>
          <w:rFonts w:eastAsia="Times New Roman" w:cstheme="minorHAnsi"/>
          <w:color w:val="000000"/>
          <w:sz w:val="28"/>
          <w:szCs w:val="28"/>
          <w:shd w:val="clear" w:color="auto" w:fill="FFFFFF"/>
          <w:lang w:eastAsia="en-GB"/>
        </w:rPr>
        <w:t>deposit or invest funds in the same manner and subject to the same conditions as the trustees of a trust are permitted to do by the Trustee Act 2000. That Act provides that trustees have all the investment powers of individual owners provided that they have regard to standard investment criteria and also provided that (subject to a limited exception) proper advice from a suitably qualified source is obtained before making any investment.</w:t>
      </w:r>
    </w:p>
    <w:p w14:paraId="2852B568" w14:textId="1561839F" w:rsidR="00F73D99" w:rsidRPr="00F73D99" w:rsidRDefault="00F73D99" w:rsidP="00F73D99">
      <w:pPr>
        <w:rPr>
          <w:rFonts w:ascii="Times New Roman" w:eastAsia="Times New Roman" w:hAnsi="Times New Roman" w:cs="Times New Roman"/>
          <w:sz w:val="24"/>
          <w:szCs w:val="24"/>
          <w:lang w:eastAsia="en-GB"/>
        </w:rPr>
      </w:pPr>
    </w:p>
    <w:p w14:paraId="52FAB2EB" w14:textId="77777777" w:rsidR="00455F93" w:rsidRPr="007A73F4" w:rsidRDefault="00455F93" w:rsidP="00455F93">
      <w:pPr>
        <w:rPr>
          <w:b/>
          <w:sz w:val="28"/>
          <w:szCs w:val="28"/>
        </w:rPr>
      </w:pPr>
      <w:r w:rsidRPr="007A73F4">
        <w:rPr>
          <w:b/>
          <w:sz w:val="28"/>
          <w:szCs w:val="28"/>
        </w:rPr>
        <w:t>2</w:t>
      </w:r>
      <w:r w:rsidRPr="007A73F4">
        <w:rPr>
          <w:b/>
          <w:sz w:val="28"/>
          <w:szCs w:val="28"/>
        </w:rPr>
        <w:tab/>
        <w:t>Investment Objectives</w:t>
      </w:r>
    </w:p>
    <w:p w14:paraId="76AEC852" w14:textId="157BECBE" w:rsidR="00455F93" w:rsidRPr="007A73F4" w:rsidRDefault="00455F93">
      <w:pPr>
        <w:rPr>
          <w:sz w:val="28"/>
          <w:szCs w:val="28"/>
        </w:rPr>
      </w:pPr>
      <w:r w:rsidRPr="007A73F4">
        <w:rPr>
          <w:sz w:val="28"/>
          <w:szCs w:val="28"/>
        </w:rPr>
        <w:t xml:space="preserve">The Charity </w:t>
      </w:r>
      <w:r w:rsidR="00D15D01">
        <w:rPr>
          <w:sz w:val="28"/>
          <w:szCs w:val="28"/>
        </w:rPr>
        <w:t xml:space="preserve">primarily </w:t>
      </w:r>
      <w:r w:rsidRPr="007A73F4">
        <w:rPr>
          <w:sz w:val="28"/>
          <w:szCs w:val="28"/>
        </w:rPr>
        <w:t>receives maintenance income from its beneficiaries which should broadly cover the short-term costs of the Charity.  The objective of the Charity’s investments is therefore to secure real capital growth to fund future projects which further the Charity’s aims.</w:t>
      </w:r>
      <w:r w:rsidR="00ED53DD" w:rsidRPr="007A73F4">
        <w:rPr>
          <w:sz w:val="28"/>
          <w:szCs w:val="28"/>
        </w:rPr>
        <w:t xml:space="preserve"> </w:t>
      </w:r>
      <w:r w:rsidR="00255A37">
        <w:rPr>
          <w:sz w:val="28"/>
          <w:szCs w:val="28"/>
        </w:rPr>
        <w:t xml:space="preserve"> In setting these objectives, the Trustees are very mindful of the historic nature of the </w:t>
      </w:r>
      <w:r w:rsidR="008C463E">
        <w:rPr>
          <w:sz w:val="28"/>
          <w:szCs w:val="28"/>
        </w:rPr>
        <w:t xml:space="preserve">listed buildings which are the </w:t>
      </w:r>
      <w:proofErr w:type="spellStart"/>
      <w:r w:rsidR="00255A37">
        <w:rPr>
          <w:sz w:val="28"/>
          <w:szCs w:val="28"/>
        </w:rPr>
        <w:t>almshouses</w:t>
      </w:r>
      <w:proofErr w:type="spellEnd"/>
      <w:r w:rsidR="00255A37">
        <w:rPr>
          <w:sz w:val="28"/>
          <w:szCs w:val="28"/>
        </w:rPr>
        <w:t xml:space="preserve"> of which the Charity is trustee and the consequent need from time to time for significant</w:t>
      </w:r>
      <w:r w:rsidR="00ED3C80">
        <w:rPr>
          <w:sz w:val="28"/>
          <w:szCs w:val="28"/>
        </w:rPr>
        <w:t>,</w:t>
      </w:r>
      <w:r w:rsidR="00255A37">
        <w:rPr>
          <w:sz w:val="28"/>
          <w:szCs w:val="28"/>
        </w:rPr>
        <w:t xml:space="preserve"> and to some extent unpredictable</w:t>
      </w:r>
      <w:r w:rsidR="00ED3C80">
        <w:rPr>
          <w:sz w:val="28"/>
          <w:szCs w:val="28"/>
        </w:rPr>
        <w:t>,</w:t>
      </w:r>
      <w:r w:rsidR="00255A37">
        <w:rPr>
          <w:sz w:val="28"/>
          <w:szCs w:val="28"/>
        </w:rPr>
        <w:t xml:space="preserve"> repairs and maintenance costs.  For that </w:t>
      </w:r>
      <w:proofErr w:type="gramStart"/>
      <w:r w:rsidR="00255A37">
        <w:rPr>
          <w:sz w:val="28"/>
          <w:szCs w:val="28"/>
        </w:rPr>
        <w:t>reason</w:t>
      </w:r>
      <w:proofErr w:type="gramEnd"/>
      <w:r w:rsidR="00255A37">
        <w:rPr>
          <w:sz w:val="28"/>
          <w:szCs w:val="28"/>
        </w:rPr>
        <w:t xml:space="preserve"> the Trustees consider it appropriate to adopt a conservative approach to its reserves</w:t>
      </w:r>
      <w:r w:rsidR="00D15D01">
        <w:rPr>
          <w:sz w:val="28"/>
          <w:szCs w:val="28"/>
        </w:rPr>
        <w:t xml:space="preserve"> while building up a sinking fund to fund future renovations</w:t>
      </w:r>
      <w:r w:rsidR="00255A37">
        <w:rPr>
          <w:sz w:val="28"/>
          <w:szCs w:val="28"/>
        </w:rPr>
        <w:t>.</w:t>
      </w:r>
    </w:p>
    <w:p w14:paraId="2A47E1A9" w14:textId="77777777" w:rsidR="00455F93" w:rsidRPr="007A73F4" w:rsidRDefault="00455F93">
      <w:pPr>
        <w:rPr>
          <w:b/>
          <w:sz w:val="28"/>
          <w:szCs w:val="28"/>
        </w:rPr>
      </w:pPr>
      <w:r w:rsidRPr="007A73F4">
        <w:rPr>
          <w:b/>
          <w:sz w:val="28"/>
          <w:szCs w:val="28"/>
        </w:rPr>
        <w:t>3</w:t>
      </w:r>
      <w:r w:rsidRPr="007A73F4">
        <w:rPr>
          <w:b/>
          <w:sz w:val="28"/>
          <w:szCs w:val="28"/>
        </w:rPr>
        <w:tab/>
        <w:t>Risk Appetite</w:t>
      </w:r>
    </w:p>
    <w:p w14:paraId="22A8CB37" w14:textId="08FA6DCE" w:rsidR="00DC5F4F" w:rsidRPr="007C4DBE" w:rsidRDefault="00455F93">
      <w:pPr>
        <w:rPr>
          <w:sz w:val="28"/>
          <w:szCs w:val="28"/>
        </w:rPr>
      </w:pPr>
      <w:r w:rsidRPr="007A73F4">
        <w:rPr>
          <w:sz w:val="28"/>
          <w:szCs w:val="28"/>
        </w:rPr>
        <w:t xml:space="preserve">The Charity’s attitude to risk </w:t>
      </w:r>
      <w:r w:rsidR="00255A37">
        <w:rPr>
          <w:sz w:val="28"/>
          <w:szCs w:val="28"/>
        </w:rPr>
        <w:t xml:space="preserve">is </w:t>
      </w:r>
      <w:r w:rsidR="00407E78" w:rsidRPr="007A73F4">
        <w:rPr>
          <w:sz w:val="28"/>
          <w:szCs w:val="28"/>
        </w:rPr>
        <w:t xml:space="preserve">tiered. </w:t>
      </w:r>
      <w:r w:rsidR="00DC5F4F" w:rsidRPr="007A73F4">
        <w:rPr>
          <w:sz w:val="28"/>
          <w:szCs w:val="28"/>
        </w:rPr>
        <w:t xml:space="preserve">Money will be held in bank current and </w:t>
      </w:r>
      <w:r w:rsidR="00D06F22" w:rsidRPr="007A73F4">
        <w:rPr>
          <w:sz w:val="28"/>
          <w:szCs w:val="28"/>
        </w:rPr>
        <w:t>deposit</w:t>
      </w:r>
      <w:r w:rsidR="00DC5F4F" w:rsidRPr="007A73F4">
        <w:rPr>
          <w:sz w:val="28"/>
          <w:szCs w:val="28"/>
        </w:rPr>
        <w:t xml:space="preserve"> accounts</w:t>
      </w:r>
      <w:r w:rsidR="00D15D01">
        <w:rPr>
          <w:sz w:val="28"/>
          <w:szCs w:val="28"/>
        </w:rPr>
        <w:t xml:space="preserve"> to help manage short-term cash flow</w:t>
      </w:r>
      <w:r w:rsidR="00DC5F4F" w:rsidRPr="007A73F4">
        <w:rPr>
          <w:sz w:val="28"/>
          <w:szCs w:val="28"/>
        </w:rPr>
        <w:t xml:space="preserve"> and </w:t>
      </w:r>
      <w:r w:rsidR="00D06F22">
        <w:rPr>
          <w:sz w:val="28"/>
          <w:szCs w:val="28"/>
        </w:rPr>
        <w:t>remainder</w:t>
      </w:r>
      <w:r w:rsidR="00D15D01">
        <w:rPr>
          <w:sz w:val="28"/>
          <w:szCs w:val="28"/>
        </w:rPr>
        <w:t xml:space="preserve"> will be invested in specialist multi-asset</w:t>
      </w:r>
      <w:r w:rsidR="00FD40DA">
        <w:rPr>
          <w:sz w:val="28"/>
          <w:szCs w:val="28"/>
        </w:rPr>
        <w:t xml:space="preserve"> charity</w:t>
      </w:r>
      <w:r w:rsidR="00D15D01">
        <w:rPr>
          <w:sz w:val="28"/>
          <w:szCs w:val="28"/>
        </w:rPr>
        <w:t xml:space="preserve"> funds with the aim of delivering the best financial total return within a risk profile that is commensurate with the </w:t>
      </w:r>
      <w:r w:rsidR="00D15D01">
        <w:rPr>
          <w:sz w:val="28"/>
          <w:szCs w:val="28"/>
        </w:rPr>
        <w:lastRenderedPageBreak/>
        <w:t>charitable objectives</w:t>
      </w:r>
      <w:r w:rsidR="00FD40DA">
        <w:rPr>
          <w:sz w:val="28"/>
          <w:szCs w:val="28"/>
        </w:rPr>
        <w:t xml:space="preserve"> over the longer-term (five years plus)</w:t>
      </w:r>
      <w:r w:rsidR="00D15D01">
        <w:rPr>
          <w:sz w:val="28"/>
          <w:szCs w:val="28"/>
        </w:rPr>
        <w:t>.</w:t>
      </w:r>
      <w:r w:rsidR="00695F8A">
        <w:rPr>
          <w:sz w:val="28"/>
          <w:szCs w:val="28"/>
        </w:rPr>
        <w:t>To reduce manager risk</w:t>
      </w:r>
      <w:r w:rsidR="00D06F22">
        <w:rPr>
          <w:sz w:val="28"/>
          <w:szCs w:val="28"/>
        </w:rPr>
        <w:t>,</w:t>
      </w:r>
      <w:r w:rsidR="00695F8A">
        <w:rPr>
          <w:sz w:val="28"/>
          <w:szCs w:val="28"/>
        </w:rPr>
        <w:t xml:space="preserve"> the Trustees have decided to split the long-term reserves between two investment managers.  </w:t>
      </w:r>
      <w:r w:rsidR="00D56045" w:rsidRPr="007C4DBE">
        <w:rPr>
          <w:sz w:val="28"/>
          <w:szCs w:val="28"/>
        </w:rPr>
        <w:t>The Trust will not consider loans to other organisations or persons (other than arrangements with beneficiaries to defer MMC payments in exceptional circumstances).</w:t>
      </w:r>
    </w:p>
    <w:p w14:paraId="4088C703" w14:textId="77777777" w:rsidR="00455F93" w:rsidRPr="007A73F4" w:rsidRDefault="00407E78">
      <w:pPr>
        <w:rPr>
          <w:b/>
          <w:sz w:val="28"/>
          <w:szCs w:val="28"/>
        </w:rPr>
      </w:pPr>
      <w:r w:rsidRPr="007A73F4">
        <w:rPr>
          <w:b/>
          <w:sz w:val="28"/>
          <w:szCs w:val="28"/>
        </w:rPr>
        <w:t>4</w:t>
      </w:r>
      <w:r w:rsidRPr="007A73F4">
        <w:rPr>
          <w:b/>
          <w:sz w:val="28"/>
          <w:szCs w:val="28"/>
        </w:rPr>
        <w:tab/>
        <w:t>Liquidity Considerations</w:t>
      </w:r>
    </w:p>
    <w:p w14:paraId="5A47833F" w14:textId="7204635A" w:rsidR="007D7521" w:rsidRDefault="00DC5F4F">
      <w:pPr>
        <w:spacing w:after="0" w:line="240" w:lineRule="auto"/>
        <w:jc w:val="both"/>
        <w:rPr>
          <w:sz w:val="28"/>
          <w:szCs w:val="28"/>
        </w:rPr>
      </w:pPr>
      <w:r w:rsidRPr="007A73F4">
        <w:rPr>
          <w:sz w:val="28"/>
          <w:szCs w:val="28"/>
        </w:rPr>
        <w:t xml:space="preserve">Cash flow requirements will be reviewed regularly by the </w:t>
      </w:r>
      <w:proofErr w:type="gramStart"/>
      <w:r w:rsidRPr="007A73F4">
        <w:rPr>
          <w:sz w:val="28"/>
          <w:szCs w:val="28"/>
        </w:rPr>
        <w:t xml:space="preserve">Finance  </w:t>
      </w:r>
      <w:r w:rsidR="00C70559">
        <w:rPr>
          <w:sz w:val="28"/>
          <w:szCs w:val="28"/>
        </w:rPr>
        <w:t>C</w:t>
      </w:r>
      <w:r w:rsidR="00C70559" w:rsidRPr="007A73F4">
        <w:rPr>
          <w:sz w:val="28"/>
          <w:szCs w:val="28"/>
        </w:rPr>
        <w:t>ommittee</w:t>
      </w:r>
      <w:proofErr w:type="gramEnd"/>
      <w:r w:rsidR="00C70559" w:rsidRPr="007A73F4">
        <w:rPr>
          <w:sz w:val="28"/>
          <w:szCs w:val="28"/>
        </w:rPr>
        <w:t xml:space="preserve"> </w:t>
      </w:r>
      <w:r w:rsidRPr="007A73F4">
        <w:rPr>
          <w:sz w:val="28"/>
          <w:szCs w:val="28"/>
        </w:rPr>
        <w:t xml:space="preserve">and investments </w:t>
      </w:r>
      <w:r w:rsidR="00FD40DA">
        <w:rPr>
          <w:sz w:val="28"/>
          <w:szCs w:val="28"/>
        </w:rPr>
        <w:t xml:space="preserve">will be held in funds that are </w:t>
      </w:r>
      <w:r w:rsidR="00FD40DA" w:rsidRPr="00CE0879">
        <w:rPr>
          <w:sz w:val="28"/>
          <w:szCs w:val="28"/>
        </w:rPr>
        <w:t>easily realisable in normal market conditions.</w:t>
      </w:r>
    </w:p>
    <w:p w14:paraId="47375B7B" w14:textId="77777777" w:rsidR="00D06F22" w:rsidRPr="00CE0879" w:rsidRDefault="00D06F22" w:rsidP="00CE0879">
      <w:pPr>
        <w:spacing w:after="0" w:line="240" w:lineRule="auto"/>
        <w:jc w:val="both"/>
        <w:rPr>
          <w:rFonts w:ascii="Arial" w:hAnsi="Arial" w:cs="Arial"/>
          <w:sz w:val="21"/>
          <w:szCs w:val="21"/>
        </w:rPr>
      </w:pPr>
    </w:p>
    <w:p w14:paraId="0482FAD5" w14:textId="77777777" w:rsidR="007D7521" w:rsidRPr="007A73F4" w:rsidRDefault="007D7521">
      <w:pPr>
        <w:rPr>
          <w:b/>
          <w:sz w:val="28"/>
          <w:szCs w:val="28"/>
        </w:rPr>
      </w:pPr>
      <w:r w:rsidRPr="007A73F4">
        <w:rPr>
          <w:b/>
          <w:sz w:val="28"/>
          <w:szCs w:val="28"/>
        </w:rPr>
        <w:t>5</w:t>
      </w:r>
      <w:r w:rsidRPr="007A73F4">
        <w:rPr>
          <w:b/>
          <w:sz w:val="28"/>
          <w:szCs w:val="28"/>
        </w:rPr>
        <w:tab/>
        <w:t>Investment Types</w:t>
      </w:r>
    </w:p>
    <w:p w14:paraId="2FDD62EB" w14:textId="4D268BD5" w:rsidR="007D7521" w:rsidRPr="007A73F4" w:rsidRDefault="007D7521">
      <w:pPr>
        <w:rPr>
          <w:sz w:val="28"/>
          <w:szCs w:val="28"/>
        </w:rPr>
      </w:pPr>
      <w:r w:rsidRPr="007A73F4">
        <w:rPr>
          <w:sz w:val="28"/>
          <w:szCs w:val="28"/>
        </w:rPr>
        <w:t xml:space="preserve">The Charity </w:t>
      </w:r>
      <w:r w:rsidR="00DC5F4F" w:rsidRPr="007A73F4">
        <w:rPr>
          <w:sz w:val="28"/>
          <w:szCs w:val="28"/>
        </w:rPr>
        <w:t>will confine its</w:t>
      </w:r>
      <w:r w:rsidRPr="007A73F4">
        <w:rPr>
          <w:sz w:val="28"/>
          <w:szCs w:val="28"/>
        </w:rPr>
        <w:t xml:space="preserve"> investment</w:t>
      </w:r>
      <w:r w:rsidR="00DC5F4F" w:rsidRPr="007A73F4">
        <w:rPr>
          <w:sz w:val="28"/>
          <w:szCs w:val="28"/>
        </w:rPr>
        <w:t>s to</w:t>
      </w:r>
      <w:r w:rsidR="00ED3C80">
        <w:rPr>
          <w:sz w:val="28"/>
          <w:szCs w:val="28"/>
        </w:rPr>
        <w:t xml:space="preserve"> collective managed funds suitable for charities</w:t>
      </w:r>
      <w:r w:rsidR="00AA0932">
        <w:rPr>
          <w:sz w:val="28"/>
          <w:szCs w:val="28"/>
        </w:rPr>
        <w:t>,</w:t>
      </w:r>
      <w:r w:rsidR="00ED3C80">
        <w:rPr>
          <w:sz w:val="28"/>
          <w:szCs w:val="28"/>
        </w:rPr>
        <w:t xml:space="preserve"> </w:t>
      </w:r>
      <w:r w:rsidR="00695F8A" w:rsidRPr="00CE0879">
        <w:rPr>
          <w:sz w:val="28"/>
          <w:szCs w:val="28"/>
        </w:rPr>
        <w:t>which provides access t</w:t>
      </w:r>
      <w:r w:rsidR="00D06F22">
        <w:rPr>
          <w:sz w:val="28"/>
          <w:szCs w:val="28"/>
        </w:rPr>
        <w:t>o</w:t>
      </w:r>
      <w:r w:rsidR="00695F8A" w:rsidRPr="00CE0879">
        <w:rPr>
          <w:sz w:val="28"/>
          <w:szCs w:val="28"/>
        </w:rPr>
        <w:t xml:space="preserve"> professionally managed diversified investment portfolio</w:t>
      </w:r>
      <w:r w:rsidR="00D06F22">
        <w:rPr>
          <w:sz w:val="28"/>
          <w:szCs w:val="28"/>
        </w:rPr>
        <w:t>s</w:t>
      </w:r>
      <w:r w:rsidR="00695F8A" w:rsidRPr="00CE0879">
        <w:rPr>
          <w:sz w:val="28"/>
          <w:szCs w:val="28"/>
        </w:rPr>
        <w:t xml:space="preserve"> where the investment objectives and risk profile are aligned to the Charity</w:t>
      </w:r>
      <w:r w:rsidR="00695F8A">
        <w:rPr>
          <w:sz w:val="28"/>
          <w:szCs w:val="28"/>
        </w:rPr>
        <w:t>.</w:t>
      </w:r>
    </w:p>
    <w:p w14:paraId="5B28AB49" w14:textId="77777777" w:rsidR="007D7521" w:rsidRPr="007A73F4" w:rsidRDefault="007D7521">
      <w:pPr>
        <w:rPr>
          <w:b/>
          <w:sz w:val="28"/>
          <w:szCs w:val="28"/>
        </w:rPr>
      </w:pPr>
      <w:r w:rsidRPr="007A73F4">
        <w:rPr>
          <w:b/>
          <w:sz w:val="28"/>
          <w:szCs w:val="28"/>
        </w:rPr>
        <w:t>6</w:t>
      </w:r>
      <w:r w:rsidRPr="007A73F4">
        <w:rPr>
          <w:b/>
          <w:sz w:val="28"/>
          <w:szCs w:val="28"/>
        </w:rPr>
        <w:tab/>
        <w:t>Investment Powers</w:t>
      </w:r>
    </w:p>
    <w:p w14:paraId="423FE829" w14:textId="61138CA1" w:rsidR="007D7521" w:rsidRDefault="007D7521">
      <w:pPr>
        <w:rPr>
          <w:sz w:val="28"/>
          <w:szCs w:val="28"/>
        </w:rPr>
      </w:pPr>
      <w:r w:rsidRPr="007A73F4">
        <w:rPr>
          <w:sz w:val="28"/>
          <w:szCs w:val="28"/>
        </w:rPr>
        <w:t>The Finance Committee is empowered</w:t>
      </w:r>
      <w:r w:rsidR="00F33178">
        <w:rPr>
          <w:sz w:val="28"/>
          <w:szCs w:val="28"/>
        </w:rPr>
        <w:t xml:space="preserve"> </w:t>
      </w:r>
      <w:r w:rsidRPr="007A73F4">
        <w:rPr>
          <w:sz w:val="28"/>
          <w:szCs w:val="28"/>
        </w:rPr>
        <w:t xml:space="preserve">to make investment decisions on behalf of the </w:t>
      </w:r>
      <w:r w:rsidR="00ED3C80">
        <w:rPr>
          <w:sz w:val="28"/>
          <w:szCs w:val="28"/>
        </w:rPr>
        <w:t>Charity.</w:t>
      </w:r>
    </w:p>
    <w:p w14:paraId="4BA1785F" w14:textId="74D5D372" w:rsidR="00ED3C80" w:rsidRPr="00CE0879" w:rsidRDefault="00ED3C80" w:rsidP="00CE0879">
      <w:r>
        <w:rPr>
          <w:sz w:val="28"/>
          <w:szCs w:val="28"/>
        </w:rPr>
        <w:t>7</w:t>
      </w:r>
      <w:r>
        <w:rPr>
          <w:sz w:val="28"/>
          <w:szCs w:val="28"/>
        </w:rPr>
        <w:tab/>
      </w:r>
      <w:r w:rsidRPr="00CE0879">
        <w:rPr>
          <w:b/>
          <w:bCs/>
          <w:sz w:val="28"/>
          <w:szCs w:val="28"/>
        </w:rPr>
        <w:t>Ethical policy</w:t>
      </w:r>
    </w:p>
    <w:p w14:paraId="50AD11D8" w14:textId="4903B09B" w:rsidR="00FD40DA" w:rsidRPr="00CE0879" w:rsidRDefault="00FD40DA" w:rsidP="00FD40DA">
      <w:pPr>
        <w:jc w:val="both"/>
        <w:rPr>
          <w:sz w:val="28"/>
          <w:szCs w:val="28"/>
        </w:rPr>
      </w:pPr>
      <w:r>
        <w:rPr>
          <w:sz w:val="28"/>
          <w:szCs w:val="28"/>
        </w:rPr>
        <w:t xml:space="preserve">The Charity does not wish to impose a </w:t>
      </w:r>
      <w:r w:rsidR="00D06F22">
        <w:rPr>
          <w:sz w:val="28"/>
          <w:szCs w:val="28"/>
        </w:rPr>
        <w:t xml:space="preserve">specific </w:t>
      </w:r>
      <w:r>
        <w:rPr>
          <w:sz w:val="28"/>
          <w:szCs w:val="28"/>
        </w:rPr>
        <w:t xml:space="preserve">list of restrictions </w:t>
      </w:r>
      <w:r w:rsidR="00D06F22">
        <w:rPr>
          <w:sz w:val="28"/>
          <w:szCs w:val="28"/>
        </w:rPr>
        <w:t>o</w:t>
      </w:r>
      <w:r w:rsidR="001C6F92">
        <w:rPr>
          <w:sz w:val="28"/>
          <w:szCs w:val="28"/>
        </w:rPr>
        <w:t>n</w:t>
      </w:r>
      <w:r>
        <w:rPr>
          <w:sz w:val="28"/>
          <w:szCs w:val="28"/>
        </w:rPr>
        <w:t xml:space="preserve"> individual companies or </w:t>
      </w:r>
      <w:r w:rsidR="00D06F22">
        <w:rPr>
          <w:sz w:val="28"/>
          <w:szCs w:val="28"/>
        </w:rPr>
        <w:t>activities as it</w:t>
      </w:r>
      <w:r>
        <w:rPr>
          <w:sz w:val="28"/>
          <w:szCs w:val="28"/>
        </w:rPr>
        <w:t xml:space="preserve"> recognises that </w:t>
      </w:r>
      <w:r w:rsidR="00D06F22">
        <w:rPr>
          <w:sz w:val="28"/>
          <w:szCs w:val="28"/>
        </w:rPr>
        <w:t xml:space="preserve">it </w:t>
      </w:r>
      <w:r>
        <w:rPr>
          <w:sz w:val="28"/>
          <w:szCs w:val="28"/>
        </w:rPr>
        <w:t xml:space="preserve">is not practical to do so investing through specialist charity funds.  However, </w:t>
      </w:r>
      <w:r w:rsidRPr="00CE0879">
        <w:rPr>
          <w:sz w:val="28"/>
          <w:szCs w:val="28"/>
        </w:rPr>
        <w:t>the Trustees wish to be responsible investors.  Environmental, social and governance (ESG) criteria are a set of standards to assess a company’s operations that investors, such as charities, consider when reviewing their investments:</w:t>
      </w:r>
    </w:p>
    <w:p w14:paraId="1A925F64" w14:textId="77777777" w:rsidR="00FD40DA" w:rsidRPr="00CE0879" w:rsidRDefault="00FD40DA" w:rsidP="00CE0879">
      <w:pPr>
        <w:pStyle w:val="ListParagraph"/>
        <w:numPr>
          <w:ilvl w:val="0"/>
          <w:numId w:val="5"/>
        </w:numPr>
        <w:jc w:val="both"/>
        <w:rPr>
          <w:sz w:val="28"/>
          <w:szCs w:val="28"/>
        </w:rPr>
      </w:pPr>
      <w:r w:rsidRPr="00CE0879">
        <w:rPr>
          <w:sz w:val="28"/>
          <w:szCs w:val="28"/>
        </w:rPr>
        <w:t xml:space="preserve">Environmental criteria consider how a company performs as a steward of nature. </w:t>
      </w:r>
    </w:p>
    <w:p w14:paraId="7C624396" w14:textId="77777777" w:rsidR="00FD40DA" w:rsidRPr="00CE0879" w:rsidRDefault="00FD40DA" w:rsidP="00CE0879">
      <w:pPr>
        <w:pStyle w:val="ListParagraph"/>
        <w:numPr>
          <w:ilvl w:val="0"/>
          <w:numId w:val="5"/>
        </w:numPr>
        <w:jc w:val="both"/>
        <w:rPr>
          <w:sz w:val="28"/>
          <w:szCs w:val="28"/>
        </w:rPr>
      </w:pPr>
      <w:r w:rsidRPr="00CE0879">
        <w:rPr>
          <w:sz w:val="28"/>
          <w:szCs w:val="28"/>
        </w:rPr>
        <w:t xml:space="preserve">Social criteria examine how it manages relationships with employees, suppliers, </w:t>
      </w:r>
      <w:proofErr w:type="gramStart"/>
      <w:r w:rsidRPr="00CE0879">
        <w:rPr>
          <w:sz w:val="28"/>
          <w:szCs w:val="28"/>
        </w:rPr>
        <w:t>customers</w:t>
      </w:r>
      <w:proofErr w:type="gramEnd"/>
      <w:r w:rsidRPr="00CE0879">
        <w:rPr>
          <w:sz w:val="28"/>
          <w:szCs w:val="28"/>
        </w:rPr>
        <w:t xml:space="preserve"> and the communities where it operates. </w:t>
      </w:r>
    </w:p>
    <w:p w14:paraId="60C7BD8A" w14:textId="77777777" w:rsidR="00FD40DA" w:rsidRPr="00CE0879" w:rsidRDefault="00FD40DA" w:rsidP="00CE0879">
      <w:pPr>
        <w:pStyle w:val="ListParagraph"/>
        <w:numPr>
          <w:ilvl w:val="0"/>
          <w:numId w:val="5"/>
        </w:numPr>
        <w:jc w:val="both"/>
        <w:rPr>
          <w:sz w:val="28"/>
          <w:szCs w:val="28"/>
        </w:rPr>
      </w:pPr>
      <w:r w:rsidRPr="00CE0879">
        <w:rPr>
          <w:sz w:val="28"/>
          <w:szCs w:val="28"/>
        </w:rPr>
        <w:t xml:space="preserve">Governance deals with a company’s leadership, executive pay, audits, internal controls, and shareholder rights. </w:t>
      </w:r>
    </w:p>
    <w:p w14:paraId="7D7007FD" w14:textId="4A1DB13A" w:rsidR="00D06F22" w:rsidRPr="007A73F4" w:rsidRDefault="00FD40DA" w:rsidP="00CE0879">
      <w:pPr>
        <w:jc w:val="both"/>
        <w:rPr>
          <w:sz w:val="28"/>
          <w:szCs w:val="28"/>
        </w:rPr>
      </w:pPr>
      <w:r>
        <w:rPr>
          <w:sz w:val="28"/>
          <w:szCs w:val="28"/>
        </w:rPr>
        <w:t xml:space="preserve">The </w:t>
      </w:r>
      <w:r w:rsidR="00D06F22">
        <w:rPr>
          <w:sz w:val="28"/>
          <w:szCs w:val="28"/>
        </w:rPr>
        <w:t>fund</w:t>
      </w:r>
      <w:r>
        <w:rPr>
          <w:sz w:val="28"/>
          <w:szCs w:val="28"/>
        </w:rPr>
        <w:t xml:space="preserve"> managers are</w:t>
      </w:r>
      <w:r w:rsidRPr="00CE0879">
        <w:rPr>
          <w:sz w:val="28"/>
          <w:szCs w:val="28"/>
        </w:rPr>
        <w:t xml:space="preserve"> expected to take account of ESG issues in their investment analysis and decision-making processes and engage with company </w:t>
      </w:r>
      <w:r w:rsidRPr="00CE0879">
        <w:rPr>
          <w:sz w:val="28"/>
          <w:szCs w:val="28"/>
        </w:rPr>
        <w:lastRenderedPageBreak/>
        <w:t>management when appropriate</w:t>
      </w:r>
      <w:r w:rsidR="00D06F22">
        <w:rPr>
          <w:sz w:val="28"/>
          <w:szCs w:val="28"/>
        </w:rPr>
        <w:t xml:space="preserve">.  </w:t>
      </w:r>
      <w:r w:rsidRPr="00CE0879">
        <w:rPr>
          <w:sz w:val="28"/>
          <w:szCs w:val="28"/>
        </w:rPr>
        <w:t xml:space="preserve"> </w:t>
      </w:r>
      <w:r w:rsidR="00D06F22">
        <w:rPr>
          <w:sz w:val="28"/>
          <w:szCs w:val="28"/>
        </w:rPr>
        <w:t>T</w:t>
      </w:r>
      <w:r>
        <w:rPr>
          <w:sz w:val="28"/>
          <w:szCs w:val="28"/>
        </w:rPr>
        <w:t xml:space="preserve">he Trustees will </w:t>
      </w:r>
      <w:r w:rsidR="00D06F22">
        <w:rPr>
          <w:sz w:val="28"/>
          <w:szCs w:val="28"/>
        </w:rPr>
        <w:t xml:space="preserve">monitor the fund managers’ engagement and </w:t>
      </w:r>
      <w:r>
        <w:rPr>
          <w:sz w:val="28"/>
          <w:szCs w:val="28"/>
        </w:rPr>
        <w:t>keep this under review</w:t>
      </w:r>
      <w:r w:rsidRPr="00CE0879">
        <w:rPr>
          <w:sz w:val="28"/>
          <w:szCs w:val="28"/>
        </w:rPr>
        <w:t>.</w:t>
      </w:r>
    </w:p>
    <w:p w14:paraId="28BA422A" w14:textId="7024DECD" w:rsidR="000B669A" w:rsidRPr="007A73F4" w:rsidRDefault="00ED3C80">
      <w:pPr>
        <w:rPr>
          <w:b/>
          <w:sz w:val="28"/>
          <w:szCs w:val="28"/>
        </w:rPr>
      </w:pPr>
      <w:r>
        <w:rPr>
          <w:b/>
          <w:sz w:val="28"/>
          <w:szCs w:val="28"/>
        </w:rPr>
        <w:t>8</w:t>
      </w:r>
      <w:r w:rsidR="000B669A" w:rsidRPr="007A73F4">
        <w:rPr>
          <w:b/>
          <w:sz w:val="28"/>
          <w:szCs w:val="28"/>
        </w:rPr>
        <w:tab/>
        <w:t>Review of Performance</w:t>
      </w:r>
    </w:p>
    <w:p w14:paraId="3AD48796" w14:textId="51844B6B" w:rsidR="00695F8A" w:rsidRDefault="000B669A" w:rsidP="00695F8A">
      <w:pPr>
        <w:tabs>
          <w:tab w:val="left" w:pos="2307"/>
        </w:tabs>
        <w:jc w:val="both"/>
        <w:rPr>
          <w:sz w:val="28"/>
          <w:szCs w:val="28"/>
        </w:rPr>
      </w:pPr>
      <w:r w:rsidRPr="007A73F4">
        <w:rPr>
          <w:sz w:val="28"/>
          <w:szCs w:val="28"/>
        </w:rPr>
        <w:t>Investments will be reviewed annually when the annual accounts are prepared.</w:t>
      </w:r>
      <w:r w:rsidR="00D06F22">
        <w:rPr>
          <w:sz w:val="28"/>
          <w:szCs w:val="28"/>
        </w:rPr>
        <w:t xml:space="preserve">  The overall p</w:t>
      </w:r>
      <w:r w:rsidR="00695F8A" w:rsidRPr="00CE0879">
        <w:rPr>
          <w:sz w:val="28"/>
          <w:szCs w:val="28"/>
        </w:rPr>
        <w:t>erformance will be monitored against</w:t>
      </w:r>
      <w:r w:rsidR="00695F8A">
        <w:rPr>
          <w:sz w:val="28"/>
          <w:szCs w:val="28"/>
        </w:rPr>
        <w:t>:</w:t>
      </w:r>
    </w:p>
    <w:p w14:paraId="542BE8FB" w14:textId="77777777" w:rsidR="00695F8A" w:rsidRDefault="00695F8A" w:rsidP="00695F8A">
      <w:pPr>
        <w:pStyle w:val="ListParagraph"/>
        <w:numPr>
          <w:ilvl w:val="0"/>
          <w:numId w:val="6"/>
        </w:numPr>
        <w:tabs>
          <w:tab w:val="left" w:pos="2307"/>
        </w:tabs>
        <w:jc w:val="both"/>
        <w:rPr>
          <w:sz w:val="28"/>
          <w:szCs w:val="28"/>
        </w:rPr>
      </w:pPr>
      <w:r>
        <w:rPr>
          <w:sz w:val="28"/>
          <w:szCs w:val="28"/>
        </w:rPr>
        <w:t>The Charity’s long-term</w:t>
      </w:r>
      <w:r w:rsidRPr="00CE0879">
        <w:rPr>
          <w:sz w:val="28"/>
          <w:szCs w:val="28"/>
        </w:rPr>
        <w:t xml:space="preserve"> target of CPI inflation plus 3.5% p.a. net of fees</w:t>
      </w:r>
    </w:p>
    <w:p w14:paraId="3CFB8242" w14:textId="77777777" w:rsidR="00695F8A" w:rsidRDefault="00695F8A" w:rsidP="00695F8A">
      <w:pPr>
        <w:pStyle w:val="ListParagraph"/>
        <w:numPr>
          <w:ilvl w:val="0"/>
          <w:numId w:val="6"/>
        </w:numPr>
        <w:tabs>
          <w:tab w:val="left" w:pos="2307"/>
        </w:tabs>
        <w:jc w:val="both"/>
        <w:rPr>
          <w:sz w:val="28"/>
          <w:szCs w:val="28"/>
        </w:rPr>
      </w:pPr>
      <w:r>
        <w:rPr>
          <w:sz w:val="28"/>
          <w:szCs w:val="28"/>
        </w:rPr>
        <w:t>The other multi-asset specialist charity funds</w:t>
      </w:r>
    </w:p>
    <w:p w14:paraId="41122277" w14:textId="32BD9F83" w:rsidR="00EF371F" w:rsidRDefault="00695F8A" w:rsidP="00CE0879">
      <w:pPr>
        <w:pStyle w:val="ListParagraph"/>
      </w:pPr>
      <w:r w:rsidRPr="00CE0879">
        <w:rPr>
          <w:sz w:val="28"/>
          <w:szCs w:val="28"/>
        </w:rPr>
        <w:t xml:space="preserve"> </w:t>
      </w:r>
      <w:r>
        <w:rPr>
          <w:sz w:val="28"/>
          <w:szCs w:val="28"/>
        </w:rPr>
        <w:t>T</w:t>
      </w:r>
      <w:r w:rsidRPr="00CE0879">
        <w:rPr>
          <w:sz w:val="28"/>
          <w:szCs w:val="28"/>
        </w:rPr>
        <w:t xml:space="preserve">he ARC steady growth charities </w:t>
      </w:r>
      <w:commentRangeStart w:id="1"/>
      <w:r w:rsidRPr="00CE0879">
        <w:rPr>
          <w:sz w:val="28"/>
          <w:szCs w:val="28"/>
        </w:rPr>
        <w:t>index</w:t>
      </w:r>
      <w:commentRangeEnd w:id="1"/>
      <w:r w:rsidR="001C6F92">
        <w:rPr>
          <w:rStyle w:val="CommentReference"/>
        </w:rPr>
        <w:commentReference w:id="1"/>
      </w:r>
    </w:p>
    <w:p w14:paraId="5B018F29" w14:textId="3B857542" w:rsidR="00EF371F" w:rsidRPr="00EF371F" w:rsidRDefault="00ED3C80">
      <w:pPr>
        <w:rPr>
          <w:b/>
          <w:bCs/>
          <w:sz w:val="28"/>
          <w:szCs w:val="28"/>
        </w:rPr>
      </w:pPr>
      <w:r>
        <w:rPr>
          <w:b/>
          <w:bCs/>
          <w:sz w:val="28"/>
          <w:szCs w:val="28"/>
        </w:rPr>
        <w:t>9</w:t>
      </w:r>
      <w:r w:rsidR="00EF371F" w:rsidRPr="00EF371F">
        <w:rPr>
          <w:b/>
          <w:bCs/>
          <w:sz w:val="28"/>
          <w:szCs w:val="28"/>
        </w:rPr>
        <w:tab/>
        <w:t>Reserv</w:t>
      </w:r>
      <w:r>
        <w:rPr>
          <w:b/>
          <w:bCs/>
          <w:sz w:val="28"/>
          <w:szCs w:val="28"/>
        </w:rPr>
        <w:t>es</w:t>
      </w:r>
      <w:r w:rsidR="00EF371F" w:rsidRPr="00EF371F">
        <w:rPr>
          <w:b/>
          <w:bCs/>
          <w:sz w:val="28"/>
          <w:szCs w:val="28"/>
        </w:rPr>
        <w:t xml:space="preserve"> Policy</w:t>
      </w:r>
    </w:p>
    <w:p w14:paraId="4A3FBC0E" w14:textId="734E05CC" w:rsidR="00FC7C98" w:rsidRPr="00CE0879" w:rsidRDefault="00FC7C98" w:rsidP="00FC7C98">
      <w:pPr>
        <w:pStyle w:val="Default"/>
        <w:ind w:left="720" w:hanging="720"/>
        <w:jc w:val="both"/>
        <w:rPr>
          <w:rFonts w:asciiTheme="minorHAnsi" w:hAnsiTheme="minorHAnsi"/>
          <w:sz w:val="28"/>
          <w:szCs w:val="28"/>
        </w:rPr>
      </w:pPr>
      <w:r>
        <w:rPr>
          <w:rFonts w:asciiTheme="minorHAnsi" w:hAnsiTheme="minorHAnsi"/>
          <w:sz w:val="28"/>
          <w:szCs w:val="28"/>
        </w:rPr>
        <w:t>9.1</w:t>
      </w:r>
      <w:r>
        <w:rPr>
          <w:rFonts w:asciiTheme="minorHAnsi" w:hAnsiTheme="minorHAnsi"/>
          <w:sz w:val="28"/>
          <w:szCs w:val="28"/>
        </w:rPr>
        <w:tab/>
      </w:r>
      <w:r w:rsidRPr="00CE0879">
        <w:rPr>
          <w:rFonts w:asciiTheme="minorHAnsi" w:hAnsiTheme="minorHAnsi"/>
          <w:sz w:val="28"/>
          <w:szCs w:val="28"/>
        </w:rPr>
        <w:t xml:space="preserve">The </w:t>
      </w:r>
      <w:r>
        <w:rPr>
          <w:rFonts w:asciiTheme="minorHAnsi" w:hAnsiTheme="minorHAnsi"/>
          <w:sz w:val="28"/>
          <w:szCs w:val="28"/>
        </w:rPr>
        <w:t>Charity</w:t>
      </w:r>
      <w:r w:rsidRPr="00CE0879">
        <w:rPr>
          <w:rFonts w:asciiTheme="minorHAnsi" w:hAnsiTheme="minorHAnsi"/>
          <w:sz w:val="28"/>
          <w:szCs w:val="28"/>
        </w:rPr>
        <w:t xml:space="preserve"> recognises the need to have sufficient funds in reserve readily available as or convertible into cash to cover day to day expenditure, especially in the event that there is a </w:t>
      </w:r>
      <w:r>
        <w:rPr>
          <w:rFonts w:asciiTheme="minorHAnsi" w:hAnsiTheme="minorHAnsi"/>
          <w:sz w:val="28"/>
          <w:szCs w:val="28"/>
        </w:rPr>
        <w:t xml:space="preserve">significant </w:t>
      </w:r>
      <w:r w:rsidRPr="00CE0879">
        <w:rPr>
          <w:rFonts w:asciiTheme="minorHAnsi" w:hAnsiTheme="minorHAnsi"/>
          <w:sz w:val="28"/>
          <w:szCs w:val="28"/>
        </w:rPr>
        <w:t xml:space="preserve">reduction in </w:t>
      </w:r>
      <w:r>
        <w:rPr>
          <w:rFonts w:asciiTheme="minorHAnsi" w:hAnsiTheme="minorHAnsi"/>
          <w:sz w:val="28"/>
          <w:szCs w:val="28"/>
        </w:rPr>
        <w:t>M</w:t>
      </w:r>
      <w:r w:rsidRPr="00CE0879">
        <w:rPr>
          <w:rFonts w:asciiTheme="minorHAnsi" w:hAnsiTheme="minorHAnsi"/>
          <w:sz w:val="28"/>
          <w:szCs w:val="28"/>
        </w:rPr>
        <w:t>MC income following the departure of residents pending new residents being appointed.</w:t>
      </w:r>
      <w:r w:rsidR="00215A46">
        <w:rPr>
          <w:rFonts w:asciiTheme="minorHAnsi" w:hAnsiTheme="minorHAnsi"/>
          <w:sz w:val="28"/>
          <w:szCs w:val="28"/>
        </w:rPr>
        <w:t xml:space="preserve"> </w:t>
      </w:r>
      <w:r w:rsidR="00215A46" w:rsidRPr="001852E5">
        <w:rPr>
          <w:rFonts w:asciiTheme="minorHAnsi" w:hAnsiTheme="minorHAnsi" w:cstheme="minorHAnsi"/>
          <w:sz w:val="28"/>
          <w:szCs w:val="28"/>
        </w:rPr>
        <w:t xml:space="preserve">The </w:t>
      </w:r>
      <w:r w:rsidR="00215A46" w:rsidRPr="00FC7C98">
        <w:rPr>
          <w:rFonts w:asciiTheme="minorHAnsi" w:hAnsiTheme="minorHAnsi" w:cstheme="minorHAnsi"/>
          <w:sz w:val="28"/>
          <w:szCs w:val="28"/>
        </w:rPr>
        <w:t>Charity</w:t>
      </w:r>
      <w:r w:rsidR="00215A46" w:rsidRPr="001852E5">
        <w:rPr>
          <w:rFonts w:asciiTheme="minorHAnsi" w:hAnsiTheme="minorHAnsi" w:cstheme="minorHAnsi"/>
          <w:sz w:val="28"/>
          <w:szCs w:val="28"/>
        </w:rPr>
        <w:t xml:space="preserve"> </w:t>
      </w:r>
      <w:r w:rsidR="00215A46">
        <w:rPr>
          <w:rFonts w:asciiTheme="minorHAnsi" w:hAnsiTheme="minorHAnsi" w:cstheme="minorHAnsi"/>
          <w:sz w:val="28"/>
          <w:szCs w:val="28"/>
        </w:rPr>
        <w:t xml:space="preserve">also </w:t>
      </w:r>
      <w:r w:rsidR="00215A46" w:rsidRPr="001852E5">
        <w:rPr>
          <w:rFonts w:asciiTheme="minorHAnsi" w:hAnsiTheme="minorHAnsi" w:cstheme="minorHAnsi"/>
          <w:sz w:val="28"/>
          <w:szCs w:val="28"/>
        </w:rPr>
        <w:t xml:space="preserve">recognises the historic nature of the </w:t>
      </w:r>
      <w:r w:rsidR="00215A46">
        <w:rPr>
          <w:rFonts w:asciiTheme="minorHAnsi" w:hAnsiTheme="minorHAnsi" w:cstheme="minorHAnsi"/>
          <w:sz w:val="28"/>
          <w:szCs w:val="28"/>
        </w:rPr>
        <w:t xml:space="preserve">listed buildings which are the </w:t>
      </w:r>
      <w:proofErr w:type="spellStart"/>
      <w:r w:rsidR="00215A46" w:rsidRPr="001852E5">
        <w:rPr>
          <w:rFonts w:asciiTheme="minorHAnsi" w:hAnsiTheme="minorHAnsi" w:cstheme="minorHAnsi"/>
          <w:sz w:val="28"/>
          <w:szCs w:val="28"/>
        </w:rPr>
        <w:t>almshouses</w:t>
      </w:r>
      <w:proofErr w:type="spellEnd"/>
      <w:r w:rsidR="00215A46" w:rsidRPr="001852E5">
        <w:rPr>
          <w:rFonts w:asciiTheme="minorHAnsi" w:hAnsiTheme="minorHAnsi" w:cstheme="minorHAnsi"/>
          <w:sz w:val="28"/>
          <w:szCs w:val="28"/>
        </w:rPr>
        <w:t xml:space="preserve"> of which the Charity is trustee and the consequent need from time to time for significant, and to some extent unpredictable,</w:t>
      </w:r>
      <w:r w:rsidR="00215A46">
        <w:rPr>
          <w:rFonts w:asciiTheme="minorHAnsi" w:hAnsiTheme="minorHAnsi" w:cstheme="minorHAnsi"/>
          <w:sz w:val="28"/>
          <w:szCs w:val="28"/>
        </w:rPr>
        <w:t xml:space="preserve"> </w:t>
      </w:r>
      <w:r w:rsidR="00215A46" w:rsidRPr="001852E5">
        <w:rPr>
          <w:rFonts w:asciiTheme="minorHAnsi" w:hAnsiTheme="minorHAnsi" w:cstheme="minorHAnsi"/>
          <w:sz w:val="28"/>
          <w:szCs w:val="28"/>
        </w:rPr>
        <w:t>repairs and maintenance costs</w:t>
      </w:r>
      <w:r w:rsidR="00215A46">
        <w:rPr>
          <w:rFonts w:asciiTheme="minorHAnsi" w:hAnsiTheme="minorHAnsi" w:cstheme="minorHAnsi"/>
          <w:sz w:val="28"/>
          <w:szCs w:val="28"/>
        </w:rPr>
        <w:t>.</w:t>
      </w:r>
      <w:r w:rsidR="00215A46">
        <w:rPr>
          <w:rFonts w:asciiTheme="minorHAnsi" w:hAnsiTheme="minorHAnsi"/>
          <w:sz w:val="28"/>
          <w:szCs w:val="28"/>
        </w:rPr>
        <w:t xml:space="preserve"> </w:t>
      </w:r>
    </w:p>
    <w:p w14:paraId="0A1E417A" w14:textId="77777777" w:rsidR="00FC7C98" w:rsidRPr="00CE0879" w:rsidRDefault="00FC7C98" w:rsidP="00FC7C98">
      <w:pPr>
        <w:pStyle w:val="Default"/>
        <w:ind w:left="1125"/>
        <w:jc w:val="both"/>
        <w:rPr>
          <w:rFonts w:asciiTheme="minorHAnsi" w:hAnsiTheme="minorHAnsi"/>
          <w:sz w:val="28"/>
          <w:szCs w:val="28"/>
        </w:rPr>
      </w:pPr>
    </w:p>
    <w:p w14:paraId="45C2975F" w14:textId="36098B31" w:rsidR="00FC7C98" w:rsidRPr="00CE0879" w:rsidRDefault="00FC7C98" w:rsidP="00FC7C98">
      <w:pPr>
        <w:pStyle w:val="Default"/>
        <w:ind w:left="720"/>
        <w:jc w:val="both"/>
        <w:rPr>
          <w:rFonts w:asciiTheme="minorHAnsi" w:hAnsiTheme="minorHAnsi"/>
          <w:sz w:val="28"/>
          <w:szCs w:val="28"/>
        </w:rPr>
      </w:pPr>
      <w:proofErr w:type="gramStart"/>
      <w:r w:rsidRPr="00CE0879">
        <w:rPr>
          <w:rFonts w:asciiTheme="minorHAnsi" w:hAnsiTheme="minorHAnsi"/>
          <w:sz w:val="28"/>
          <w:szCs w:val="28"/>
        </w:rPr>
        <w:t>In order to</w:t>
      </w:r>
      <w:proofErr w:type="gramEnd"/>
      <w:r w:rsidRPr="00CE0879">
        <w:rPr>
          <w:rFonts w:asciiTheme="minorHAnsi" w:hAnsiTheme="minorHAnsi"/>
          <w:sz w:val="28"/>
          <w:szCs w:val="28"/>
        </w:rPr>
        <w:t xml:space="preserve"> mitigate th</w:t>
      </w:r>
      <w:r w:rsidR="00215A46">
        <w:rPr>
          <w:rFonts w:asciiTheme="minorHAnsi" w:hAnsiTheme="minorHAnsi"/>
          <w:sz w:val="28"/>
          <w:szCs w:val="28"/>
        </w:rPr>
        <w:t xml:space="preserve">ese </w:t>
      </w:r>
      <w:r w:rsidRPr="00CE0879">
        <w:rPr>
          <w:rFonts w:asciiTheme="minorHAnsi" w:hAnsiTheme="minorHAnsi"/>
          <w:sz w:val="28"/>
          <w:szCs w:val="28"/>
        </w:rPr>
        <w:t>risk</w:t>
      </w:r>
      <w:r w:rsidR="00215A46">
        <w:rPr>
          <w:rFonts w:asciiTheme="minorHAnsi" w:hAnsiTheme="minorHAnsi"/>
          <w:sz w:val="28"/>
          <w:szCs w:val="28"/>
        </w:rPr>
        <w:t>s</w:t>
      </w:r>
      <w:r w:rsidRPr="00CE0879">
        <w:rPr>
          <w:rFonts w:asciiTheme="minorHAnsi" w:hAnsiTheme="minorHAnsi"/>
          <w:sz w:val="28"/>
          <w:szCs w:val="28"/>
        </w:rPr>
        <w:t xml:space="preserve">, the trustees have calculated that </w:t>
      </w:r>
      <w:r w:rsidR="00D06F22">
        <w:rPr>
          <w:rFonts w:asciiTheme="minorHAnsi" w:hAnsiTheme="minorHAnsi"/>
          <w:sz w:val="28"/>
          <w:szCs w:val="28"/>
        </w:rPr>
        <w:t>free</w:t>
      </w:r>
      <w:r w:rsidR="00215A46">
        <w:rPr>
          <w:rFonts w:asciiTheme="minorHAnsi" w:hAnsiTheme="minorHAnsi"/>
          <w:sz w:val="28"/>
          <w:szCs w:val="28"/>
        </w:rPr>
        <w:t xml:space="preserve"> </w:t>
      </w:r>
      <w:commentRangeStart w:id="2"/>
      <w:r w:rsidR="00215A46">
        <w:rPr>
          <w:rFonts w:asciiTheme="minorHAnsi" w:hAnsiTheme="minorHAnsi"/>
          <w:sz w:val="28"/>
          <w:szCs w:val="28"/>
        </w:rPr>
        <w:t>reserve</w:t>
      </w:r>
      <w:r w:rsidR="00D06F22">
        <w:rPr>
          <w:rFonts w:asciiTheme="minorHAnsi" w:hAnsiTheme="minorHAnsi"/>
          <w:sz w:val="28"/>
          <w:szCs w:val="28"/>
        </w:rPr>
        <w:t>s</w:t>
      </w:r>
      <w:r w:rsidR="00215A46">
        <w:rPr>
          <w:rFonts w:asciiTheme="minorHAnsi" w:hAnsiTheme="minorHAnsi"/>
          <w:sz w:val="28"/>
          <w:szCs w:val="28"/>
        </w:rPr>
        <w:t xml:space="preserve"> equating to 24 months of the budgeted MMC income is required.</w:t>
      </w:r>
      <w:r w:rsidR="00F33178">
        <w:rPr>
          <w:rFonts w:asciiTheme="minorHAnsi" w:hAnsiTheme="minorHAnsi"/>
          <w:sz w:val="28"/>
          <w:szCs w:val="28"/>
        </w:rPr>
        <w:t xml:space="preserve"> </w:t>
      </w:r>
      <w:r w:rsidR="003431FE">
        <w:rPr>
          <w:rFonts w:asciiTheme="minorHAnsi" w:hAnsiTheme="minorHAnsi"/>
          <w:sz w:val="28"/>
          <w:szCs w:val="28"/>
        </w:rPr>
        <w:t>This shall be regarded as the contingency reserve.</w:t>
      </w:r>
      <w:commentRangeEnd w:id="2"/>
      <w:r w:rsidR="00695F8A">
        <w:rPr>
          <w:rStyle w:val="CommentReference"/>
          <w:rFonts w:asciiTheme="minorHAnsi" w:hAnsiTheme="minorHAnsi" w:cstheme="minorBidi"/>
          <w:color w:val="auto"/>
        </w:rPr>
        <w:commentReference w:id="2"/>
      </w:r>
    </w:p>
    <w:p w14:paraId="0BB19567" w14:textId="77777777" w:rsidR="00FC7C98" w:rsidRDefault="00FC7C98" w:rsidP="00FC7C98">
      <w:pPr>
        <w:pStyle w:val="Default"/>
        <w:ind w:left="720" w:hanging="720"/>
        <w:jc w:val="both"/>
        <w:rPr>
          <w:rFonts w:asciiTheme="minorHAnsi" w:hAnsiTheme="minorHAnsi"/>
          <w:sz w:val="28"/>
          <w:szCs w:val="28"/>
        </w:rPr>
      </w:pPr>
    </w:p>
    <w:p w14:paraId="013D253D" w14:textId="58D25A90" w:rsidR="00FC7C98" w:rsidRDefault="00FC7C98">
      <w:pPr>
        <w:pStyle w:val="Default"/>
        <w:ind w:left="720" w:hanging="720"/>
        <w:jc w:val="both"/>
        <w:rPr>
          <w:rFonts w:asciiTheme="minorHAnsi" w:hAnsiTheme="minorHAnsi" w:cstheme="minorHAnsi"/>
          <w:sz w:val="28"/>
          <w:szCs w:val="28"/>
        </w:rPr>
      </w:pPr>
      <w:r w:rsidRPr="00CE0879">
        <w:rPr>
          <w:rFonts w:asciiTheme="minorHAnsi" w:hAnsiTheme="minorHAnsi"/>
          <w:sz w:val="28"/>
          <w:szCs w:val="28"/>
        </w:rPr>
        <w:t>4.2</w:t>
      </w:r>
      <w:r w:rsidRPr="00CE0879">
        <w:rPr>
          <w:rFonts w:asciiTheme="minorHAnsi" w:hAnsiTheme="minorHAnsi"/>
          <w:sz w:val="28"/>
          <w:szCs w:val="28"/>
        </w:rPr>
        <w:tab/>
      </w:r>
      <w:r w:rsidR="00215A46">
        <w:rPr>
          <w:rFonts w:asciiTheme="minorHAnsi" w:hAnsiTheme="minorHAnsi" w:cstheme="minorHAnsi"/>
          <w:sz w:val="28"/>
          <w:szCs w:val="28"/>
        </w:rPr>
        <w:t xml:space="preserve"> A </w:t>
      </w:r>
      <w:proofErr w:type="gramStart"/>
      <w:r w:rsidR="00215A46">
        <w:rPr>
          <w:rFonts w:asciiTheme="minorHAnsi" w:hAnsiTheme="minorHAnsi" w:cstheme="minorHAnsi"/>
          <w:sz w:val="28"/>
          <w:szCs w:val="28"/>
        </w:rPr>
        <w:t>five year</w:t>
      </w:r>
      <w:proofErr w:type="gramEnd"/>
      <w:r w:rsidR="00215A46">
        <w:rPr>
          <w:rFonts w:asciiTheme="minorHAnsi" w:hAnsiTheme="minorHAnsi" w:cstheme="minorHAnsi"/>
          <w:sz w:val="28"/>
          <w:szCs w:val="28"/>
        </w:rPr>
        <w:t xml:space="preserve"> cash-flow statement </w:t>
      </w:r>
      <w:r w:rsidR="003431FE">
        <w:rPr>
          <w:rFonts w:asciiTheme="minorHAnsi" w:hAnsiTheme="minorHAnsi" w:cstheme="minorHAnsi"/>
          <w:sz w:val="28"/>
          <w:szCs w:val="28"/>
        </w:rPr>
        <w:t xml:space="preserve">of anticipated expenditure </w:t>
      </w:r>
      <w:r w:rsidR="00215A46">
        <w:rPr>
          <w:rFonts w:asciiTheme="minorHAnsi" w:hAnsiTheme="minorHAnsi" w:cstheme="minorHAnsi"/>
          <w:sz w:val="28"/>
          <w:szCs w:val="28"/>
        </w:rPr>
        <w:t>will be provided annually by the Buildings Committee</w:t>
      </w:r>
      <w:r w:rsidR="003431FE">
        <w:rPr>
          <w:rFonts w:asciiTheme="minorHAnsi" w:hAnsiTheme="minorHAnsi" w:cstheme="minorHAnsi"/>
          <w:sz w:val="28"/>
          <w:szCs w:val="28"/>
        </w:rPr>
        <w:t xml:space="preserve"> and the total estimated spend over this period shall additionally be reserved. This shall be regarded as the commitment reserve</w:t>
      </w:r>
      <w:r w:rsidR="007229D0">
        <w:rPr>
          <w:rFonts w:asciiTheme="minorHAnsi" w:hAnsiTheme="minorHAnsi" w:cstheme="minorHAnsi"/>
          <w:sz w:val="28"/>
          <w:szCs w:val="28"/>
        </w:rPr>
        <w:t xml:space="preserve"> and will be itemised in the annual </w:t>
      </w:r>
      <w:commentRangeStart w:id="3"/>
      <w:r w:rsidR="007229D0">
        <w:rPr>
          <w:rFonts w:asciiTheme="minorHAnsi" w:hAnsiTheme="minorHAnsi" w:cstheme="minorHAnsi"/>
          <w:sz w:val="28"/>
          <w:szCs w:val="28"/>
        </w:rPr>
        <w:t>accounts</w:t>
      </w:r>
      <w:r w:rsidR="003431FE">
        <w:rPr>
          <w:rFonts w:asciiTheme="minorHAnsi" w:hAnsiTheme="minorHAnsi" w:cstheme="minorHAnsi"/>
          <w:sz w:val="28"/>
          <w:szCs w:val="28"/>
        </w:rPr>
        <w:t>.</w:t>
      </w:r>
      <w:commentRangeEnd w:id="3"/>
      <w:r w:rsidR="00D06F22">
        <w:rPr>
          <w:rStyle w:val="CommentReference"/>
          <w:rFonts w:asciiTheme="minorHAnsi" w:hAnsiTheme="minorHAnsi" w:cstheme="minorBidi"/>
          <w:color w:val="auto"/>
        </w:rPr>
        <w:commentReference w:id="3"/>
      </w:r>
      <w:r w:rsidR="003431FE">
        <w:rPr>
          <w:rFonts w:asciiTheme="minorHAnsi" w:hAnsiTheme="minorHAnsi" w:cstheme="minorHAnsi"/>
          <w:sz w:val="28"/>
          <w:szCs w:val="28"/>
        </w:rPr>
        <w:br/>
      </w:r>
    </w:p>
    <w:p w14:paraId="18AB279D" w14:textId="77777777" w:rsidR="003431FE" w:rsidRPr="00CE0879" w:rsidRDefault="003431FE" w:rsidP="00CE0879">
      <w:pPr>
        <w:pStyle w:val="Default"/>
        <w:ind w:left="720" w:hanging="720"/>
        <w:jc w:val="both"/>
        <w:rPr>
          <w:rFonts w:asciiTheme="minorHAnsi" w:hAnsiTheme="minorHAnsi" w:cstheme="minorHAnsi"/>
          <w:sz w:val="28"/>
          <w:szCs w:val="28"/>
        </w:rPr>
      </w:pPr>
    </w:p>
    <w:p w14:paraId="7CD860E6" w14:textId="6B300350" w:rsidR="007D7521" w:rsidRPr="007A73F4" w:rsidRDefault="003431FE" w:rsidP="00CE0879">
      <w:pPr>
        <w:ind w:left="709" w:hanging="709"/>
        <w:rPr>
          <w:sz w:val="28"/>
          <w:szCs w:val="28"/>
        </w:rPr>
      </w:pPr>
      <w:r>
        <w:rPr>
          <w:sz w:val="28"/>
          <w:szCs w:val="28"/>
        </w:rPr>
        <w:t>4.3</w:t>
      </w:r>
      <w:r>
        <w:rPr>
          <w:sz w:val="28"/>
          <w:szCs w:val="28"/>
        </w:rPr>
        <w:tab/>
        <w:t xml:space="preserve">Any assets exceeding the contingency and commitment reserve will be </w:t>
      </w:r>
      <w:r>
        <w:rPr>
          <w:sz w:val="28"/>
          <w:szCs w:val="28"/>
        </w:rPr>
        <w:tab/>
        <w:t xml:space="preserve">available to fund any future projects the </w:t>
      </w:r>
      <w:r w:rsidR="00F33178">
        <w:rPr>
          <w:sz w:val="28"/>
          <w:szCs w:val="28"/>
        </w:rPr>
        <w:t>Charity</w:t>
      </w:r>
      <w:r>
        <w:rPr>
          <w:sz w:val="28"/>
          <w:szCs w:val="28"/>
        </w:rPr>
        <w:t xml:space="preserve"> wishes to undertake that further its aims.</w:t>
      </w:r>
    </w:p>
    <w:p w14:paraId="140A60AE" w14:textId="77777777" w:rsidR="007D7521" w:rsidRPr="007A73F4" w:rsidRDefault="007D7521">
      <w:pPr>
        <w:rPr>
          <w:sz w:val="28"/>
          <w:szCs w:val="28"/>
        </w:rPr>
      </w:pPr>
    </w:p>
    <w:p w14:paraId="3EAC3F5A" w14:textId="77777777" w:rsidR="007D7521" w:rsidRDefault="007D7521"/>
    <w:p w14:paraId="710730D7" w14:textId="77777777" w:rsidR="007D7521" w:rsidRDefault="007D7521"/>
    <w:p w14:paraId="3BE99D72" w14:textId="77777777" w:rsidR="00455F93" w:rsidRDefault="00455F93"/>
    <w:sectPr w:rsidR="00455F9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artin blackwell" w:date="2020-10-13T15:14:00Z" w:initials="mb">
    <w:p w14:paraId="442CB518" w14:textId="022C32E3" w:rsidR="00C70559" w:rsidRDefault="00C70559">
      <w:pPr>
        <w:pStyle w:val="CommentText"/>
      </w:pPr>
      <w:r>
        <w:rPr>
          <w:rStyle w:val="CommentReference"/>
        </w:rPr>
        <w:annotationRef/>
      </w:r>
    </w:p>
  </w:comment>
  <w:comment w:id="1" w:author="Mesquita, Charles" w:date="2020-12-23T10:54:00Z" w:initials="MC">
    <w:p w14:paraId="4F2BE1CD" w14:textId="618261E4" w:rsidR="001C6F92" w:rsidRDefault="001C6F92">
      <w:pPr>
        <w:pStyle w:val="CommentText"/>
      </w:pPr>
      <w:r>
        <w:rPr>
          <w:rStyle w:val="CommentReference"/>
        </w:rPr>
        <w:annotationRef/>
      </w:r>
    </w:p>
  </w:comment>
  <w:comment w:id="2" w:author="Mesquita, Charles" w:date="2020-12-22T10:47:00Z" w:initials="MC">
    <w:p w14:paraId="16DE5C01" w14:textId="37042DC9" w:rsidR="00695F8A" w:rsidRDefault="00695F8A">
      <w:pPr>
        <w:pStyle w:val="CommentText"/>
      </w:pPr>
      <w:r>
        <w:rPr>
          <w:rStyle w:val="CommentReference"/>
        </w:rPr>
        <w:annotationRef/>
      </w:r>
      <w:r>
        <w:t>I would also have a sinking Fund where you are looking to build up a sum to £800k over next 10 to 15 years</w:t>
      </w:r>
    </w:p>
  </w:comment>
  <w:comment w:id="3" w:author="Mesquita, Charles" w:date="2020-12-23T10:26:00Z" w:initials="MC">
    <w:p w14:paraId="6A1C13BB" w14:textId="470984B4" w:rsidR="00D06F22" w:rsidRDefault="00D06F22">
      <w:pPr>
        <w:pStyle w:val="CommentText"/>
      </w:pPr>
      <w:r>
        <w:rPr>
          <w:rStyle w:val="CommentReference"/>
        </w:rPr>
        <w:annotationRef/>
      </w:r>
      <w:r>
        <w:rPr>
          <w:noProof/>
        </w:rPr>
        <w:t>I think you need to mention that you will be building a sinking fund for major expenditure that needs to be built up over a 20 to 25 year cycle.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42CB518" w15:done="0"/>
  <w15:commentEx w15:paraId="4F2BE1CD" w15:done="0"/>
  <w15:commentEx w15:paraId="16DE5C01" w15:done="0"/>
  <w15:commentEx w15:paraId="6A1C13B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042DE" w16cex:dateUtc="2020-10-13T14: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2CB518" w16cid:durableId="233042DE"/>
  <w16cid:commentId w16cid:paraId="4F2BE1CD" w16cid:durableId="238DA053"/>
  <w16cid:commentId w16cid:paraId="16DE5C01" w16cid:durableId="238C4D47"/>
  <w16cid:commentId w16cid:paraId="6A1C13BB" w16cid:durableId="238D99C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85269" w14:textId="77777777" w:rsidR="00E469E4" w:rsidRDefault="00E469E4" w:rsidP="00695F8A">
      <w:pPr>
        <w:spacing w:after="0" w:line="240" w:lineRule="auto"/>
      </w:pPr>
      <w:r>
        <w:separator/>
      </w:r>
    </w:p>
  </w:endnote>
  <w:endnote w:type="continuationSeparator" w:id="0">
    <w:p w14:paraId="70B941B7" w14:textId="77777777" w:rsidR="00E469E4" w:rsidRDefault="00E469E4" w:rsidP="00695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NeueLT St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5C965" w14:textId="77777777" w:rsidR="001C6F92" w:rsidRDefault="001C6F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F09B3" w14:textId="3A60F063" w:rsidR="00695F8A" w:rsidRDefault="00695F8A">
    <w:pPr>
      <w:pStyle w:val="Footer"/>
    </w:pPr>
    <w:r>
      <w:rPr>
        <w:noProof/>
      </w:rPr>
      <mc:AlternateContent>
        <mc:Choice Requires="wps">
          <w:drawing>
            <wp:anchor distT="0" distB="0" distL="114300" distR="114300" simplePos="0" relativeHeight="251659264" behindDoc="0" locked="0" layoutInCell="0" allowOverlap="1" wp14:anchorId="33F2E1AE" wp14:editId="5E394771">
              <wp:simplePos x="0" y="0"/>
              <wp:positionH relativeFrom="page">
                <wp:posOffset>0</wp:posOffset>
              </wp:positionH>
              <wp:positionV relativeFrom="page">
                <wp:posOffset>10234930</wp:posOffset>
              </wp:positionV>
              <wp:extent cx="7560310" cy="266700"/>
              <wp:effectExtent l="0" t="0" r="0" b="0"/>
              <wp:wrapNone/>
              <wp:docPr id="1" name="MSIPCM46134e61bb09f4aa65ed9bb8" descr="{&quot;HashCode&quot;:133388492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1DF01B" w14:textId="2E05517C" w:rsidR="00695F8A" w:rsidRPr="00695F8A" w:rsidRDefault="00695F8A" w:rsidP="00695F8A">
                          <w:pPr>
                            <w:spacing w:after="0"/>
                            <w:jc w:val="center"/>
                            <w:rPr>
                              <w:rFonts w:ascii="Arial" w:hAnsi="Arial" w:cs="Arial"/>
                              <w:color w:val="000000"/>
                              <w:sz w:val="20"/>
                            </w:rPr>
                          </w:pPr>
                          <w:r w:rsidRPr="00695F8A">
                            <w:rPr>
                              <w:rFonts w:ascii="Arial" w:hAnsi="Arial" w:cs="Arial"/>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3F2E1AE" id="_x0000_t202" coordsize="21600,21600" o:spt="202" path="m,l,21600r21600,l21600,xe">
              <v:stroke joinstyle="miter"/>
              <v:path gradientshapeok="t" o:connecttype="rect"/>
            </v:shapetype>
            <v:shape id="MSIPCM46134e61bb09f4aa65ed9bb8" o:spid="_x0000_s1026" type="#_x0000_t202" alt="{&quot;HashCode&quot;:1333884922,&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" o:allowincell="f" filled="f" stroked="f" strokeweight=".5pt">
              <v:textbox inset=",0,,0">
                <w:txbxContent>
                  <w:p w14:paraId="181DF01B" w14:textId="2E05517C" w:rsidR="00695F8A" w:rsidRPr="00695F8A" w:rsidRDefault="00695F8A" w:rsidP="00695F8A">
                    <w:pPr>
                      <w:spacing w:after="0"/>
                      <w:jc w:val="center"/>
                      <w:rPr>
                        <w:rFonts w:ascii="Arial" w:hAnsi="Arial" w:cs="Arial"/>
                        <w:color w:val="000000"/>
                        <w:sz w:val="20"/>
                      </w:rPr>
                    </w:pPr>
                    <w:r w:rsidRPr="00695F8A">
                      <w:rPr>
                        <w:rFonts w:ascii="Arial" w:hAnsi="Arial" w:cs="Arial"/>
                        <w:color w:val="000000"/>
                        <w:sz w:val="20"/>
                      </w:rPr>
                      <w:t>CONFIDENTIAL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F151B" w14:textId="77777777" w:rsidR="001C6F92" w:rsidRDefault="001C6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91F45" w14:textId="77777777" w:rsidR="00E469E4" w:rsidRDefault="00E469E4" w:rsidP="00695F8A">
      <w:pPr>
        <w:spacing w:after="0" w:line="240" w:lineRule="auto"/>
      </w:pPr>
      <w:r>
        <w:separator/>
      </w:r>
    </w:p>
  </w:footnote>
  <w:footnote w:type="continuationSeparator" w:id="0">
    <w:p w14:paraId="066D76B6" w14:textId="77777777" w:rsidR="00E469E4" w:rsidRDefault="00E469E4" w:rsidP="00695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B12DD" w14:textId="77777777" w:rsidR="001C6F92" w:rsidRDefault="001C6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17E18" w14:textId="77777777" w:rsidR="001C6F92" w:rsidRDefault="001C6F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084B3" w14:textId="77777777" w:rsidR="001C6F92" w:rsidRDefault="001C6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207CA"/>
    <w:multiLevelType w:val="hybridMultilevel"/>
    <w:tmpl w:val="FF88B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F7692"/>
    <w:multiLevelType w:val="hybridMultilevel"/>
    <w:tmpl w:val="744E3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6542DD"/>
    <w:multiLevelType w:val="hybridMultilevel"/>
    <w:tmpl w:val="A69A11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A1B62A1"/>
    <w:multiLevelType w:val="multilevel"/>
    <w:tmpl w:val="067A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2B556B"/>
    <w:multiLevelType w:val="hybridMultilevel"/>
    <w:tmpl w:val="7748928C"/>
    <w:lvl w:ilvl="0" w:tplc="D52EDCA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5144D6"/>
    <w:multiLevelType w:val="hybridMultilevel"/>
    <w:tmpl w:val="20BE9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tin blackwell">
    <w15:presenceInfo w15:providerId="Windows Live" w15:userId="36290170dd93dcdd"/>
  </w15:person>
  <w15:person w15:author="Mesquita, Charles">
    <w15:presenceInfo w15:providerId="AD" w15:userId="S::charles.mesquita@quiltercheviot.com::b9aa1c81-c4b1-48a2-afa1-98e56b023b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AC6"/>
    <w:rsid w:val="00063E05"/>
    <w:rsid w:val="000853D3"/>
    <w:rsid w:val="000B669A"/>
    <w:rsid w:val="001C6F92"/>
    <w:rsid w:val="00215A46"/>
    <w:rsid w:val="00255A37"/>
    <w:rsid w:val="00294219"/>
    <w:rsid w:val="003431FE"/>
    <w:rsid w:val="00407E78"/>
    <w:rsid w:val="00455F93"/>
    <w:rsid w:val="00456BAA"/>
    <w:rsid w:val="004C0AC6"/>
    <w:rsid w:val="004F0075"/>
    <w:rsid w:val="004F1069"/>
    <w:rsid w:val="006946C2"/>
    <w:rsid w:val="00695F8A"/>
    <w:rsid w:val="007229D0"/>
    <w:rsid w:val="007A73F4"/>
    <w:rsid w:val="007C4DBE"/>
    <w:rsid w:val="007D7521"/>
    <w:rsid w:val="00847B04"/>
    <w:rsid w:val="008C463E"/>
    <w:rsid w:val="009D24D4"/>
    <w:rsid w:val="00A75A14"/>
    <w:rsid w:val="00AA0932"/>
    <w:rsid w:val="00B575F2"/>
    <w:rsid w:val="00C70559"/>
    <w:rsid w:val="00CE0879"/>
    <w:rsid w:val="00D06F22"/>
    <w:rsid w:val="00D15D01"/>
    <w:rsid w:val="00D44AF5"/>
    <w:rsid w:val="00D56045"/>
    <w:rsid w:val="00DC5F4F"/>
    <w:rsid w:val="00E469E4"/>
    <w:rsid w:val="00E8349B"/>
    <w:rsid w:val="00EC5808"/>
    <w:rsid w:val="00ED3C80"/>
    <w:rsid w:val="00ED53DD"/>
    <w:rsid w:val="00EF371F"/>
    <w:rsid w:val="00F33178"/>
    <w:rsid w:val="00F73D99"/>
    <w:rsid w:val="00FC7C98"/>
    <w:rsid w:val="00FD4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0CB80"/>
  <w15:chartTrackingRefBased/>
  <w15:docId w15:val="{FD6647D3-64AE-450D-BAF6-1B8E67FC2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4C0AC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C0AC6"/>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4C0A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C0AC6"/>
    <w:rPr>
      <w:color w:val="0000FF"/>
      <w:u w:val="single"/>
    </w:rPr>
  </w:style>
  <w:style w:type="paragraph" w:styleId="ListParagraph">
    <w:name w:val="List Paragraph"/>
    <w:basedOn w:val="Normal"/>
    <w:uiPriority w:val="34"/>
    <w:qFormat/>
    <w:rsid w:val="00455F93"/>
    <w:pPr>
      <w:ind w:left="720"/>
      <w:contextualSpacing/>
    </w:pPr>
  </w:style>
  <w:style w:type="table" w:styleId="TableGrid">
    <w:name w:val="Table Grid"/>
    <w:basedOn w:val="TableNormal"/>
    <w:uiPriority w:val="39"/>
    <w:rsid w:val="007A7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3D9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3D99"/>
    <w:rPr>
      <w:rFonts w:ascii="Times New Roman" w:hAnsi="Times New Roman" w:cs="Times New Roman"/>
      <w:sz w:val="18"/>
      <w:szCs w:val="18"/>
    </w:rPr>
  </w:style>
  <w:style w:type="paragraph" w:customStyle="1" w:styleId="Default">
    <w:name w:val="Default"/>
    <w:rsid w:val="00ED3C80"/>
    <w:pPr>
      <w:autoSpaceDE w:val="0"/>
      <w:autoSpaceDN w:val="0"/>
      <w:adjustRightInd w:val="0"/>
      <w:spacing w:after="0" w:line="240" w:lineRule="auto"/>
    </w:pPr>
    <w:rPr>
      <w:rFonts w:ascii="HelveticaNeueLT Std" w:hAnsi="HelveticaNeueLT Std" w:cs="HelveticaNeueLT Std"/>
      <w:color w:val="000000"/>
      <w:sz w:val="24"/>
      <w:szCs w:val="24"/>
    </w:rPr>
  </w:style>
  <w:style w:type="character" w:styleId="CommentReference">
    <w:name w:val="annotation reference"/>
    <w:basedOn w:val="DefaultParagraphFont"/>
    <w:uiPriority w:val="99"/>
    <w:semiHidden/>
    <w:unhideWhenUsed/>
    <w:rsid w:val="00C70559"/>
    <w:rPr>
      <w:sz w:val="16"/>
      <w:szCs w:val="16"/>
    </w:rPr>
  </w:style>
  <w:style w:type="paragraph" w:styleId="CommentText">
    <w:name w:val="annotation text"/>
    <w:basedOn w:val="Normal"/>
    <w:link w:val="CommentTextChar"/>
    <w:uiPriority w:val="99"/>
    <w:semiHidden/>
    <w:unhideWhenUsed/>
    <w:rsid w:val="00C70559"/>
    <w:pPr>
      <w:spacing w:line="240" w:lineRule="auto"/>
    </w:pPr>
    <w:rPr>
      <w:sz w:val="20"/>
      <w:szCs w:val="20"/>
    </w:rPr>
  </w:style>
  <w:style w:type="character" w:customStyle="1" w:styleId="CommentTextChar">
    <w:name w:val="Comment Text Char"/>
    <w:basedOn w:val="DefaultParagraphFont"/>
    <w:link w:val="CommentText"/>
    <w:uiPriority w:val="99"/>
    <w:semiHidden/>
    <w:rsid w:val="00C70559"/>
    <w:rPr>
      <w:sz w:val="20"/>
      <w:szCs w:val="20"/>
    </w:rPr>
  </w:style>
  <w:style w:type="paragraph" w:styleId="CommentSubject">
    <w:name w:val="annotation subject"/>
    <w:basedOn w:val="CommentText"/>
    <w:next w:val="CommentText"/>
    <w:link w:val="CommentSubjectChar"/>
    <w:uiPriority w:val="99"/>
    <w:semiHidden/>
    <w:unhideWhenUsed/>
    <w:rsid w:val="00C70559"/>
    <w:rPr>
      <w:b/>
      <w:bCs/>
    </w:rPr>
  </w:style>
  <w:style w:type="character" w:customStyle="1" w:styleId="CommentSubjectChar">
    <w:name w:val="Comment Subject Char"/>
    <w:basedOn w:val="CommentTextChar"/>
    <w:link w:val="CommentSubject"/>
    <w:uiPriority w:val="99"/>
    <w:semiHidden/>
    <w:rsid w:val="00C70559"/>
    <w:rPr>
      <w:b/>
      <w:bCs/>
      <w:sz w:val="20"/>
      <w:szCs w:val="20"/>
    </w:rPr>
  </w:style>
  <w:style w:type="paragraph" w:styleId="Header">
    <w:name w:val="header"/>
    <w:basedOn w:val="Normal"/>
    <w:link w:val="HeaderChar"/>
    <w:uiPriority w:val="99"/>
    <w:unhideWhenUsed/>
    <w:rsid w:val="00695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F8A"/>
  </w:style>
  <w:style w:type="paragraph" w:styleId="Footer">
    <w:name w:val="footer"/>
    <w:basedOn w:val="Normal"/>
    <w:link w:val="FooterChar"/>
    <w:uiPriority w:val="99"/>
    <w:unhideWhenUsed/>
    <w:rsid w:val="00695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F8A"/>
  </w:style>
  <w:style w:type="paragraph" w:styleId="Revision">
    <w:name w:val="Revision"/>
    <w:hidden/>
    <w:uiPriority w:val="99"/>
    <w:semiHidden/>
    <w:rsid w:val="00D06F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153161">
      <w:bodyDiv w:val="1"/>
      <w:marLeft w:val="0"/>
      <w:marRight w:val="0"/>
      <w:marTop w:val="0"/>
      <w:marBottom w:val="0"/>
      <w:divBdr>
        <w:top w:val="none" w:sz="0" w:space="0" w:color="auto"/>
        <w:left w:val="none" w:sz="0" w:space="0" w:color="auto"/>
        <w:bottom w:val="none" w:sz="0" w:space="0" w:color="auto"/>
        <w:right w:val="none" w:sz="0" w:space="0" w:color="auto"/>
      </w:divBdr>
    </w:div>
    <w:div w:id="1354725142">
      <w:bodyDiv w:val="1"/>
      <w:marLeft w:val="0"/>
      <w:marRight w:val="0"/>
      <w:marTop w:val="0"/>
      <w:marBottom w:val="0"/>
      <w:divBdr>
        <w:top w:val="none" w:sz="0" w:space="0" w:color="auto"/>
        <w:left w:val="none" w:sz="0" w:space="0" w:color="auto"/>
        <w:bottom w:val="none" w:sz="0" w:space="0" w:color="auto"/>
        <w:right w:val="none" w:sz="0" w:space="0" w:color="auto"/>
      </w:divBdr>
    </w:div>
    <w:div w:id="1535656281">
      <w:bodyDiv w:val="1"/>
      <w:marLeft w:val="0"/>
      <w:marRight w:val="0"/>
      <w:marTop w:val="0"/>
      <w:marBottom w:val="0"/>
      <w:divBdr>
        <w:top w:val="none" w:sz="0" w:space="0" w:color="auto"/>
        <w:left w:val="none" w:sz="0" w:space="0" w:color="auto"/>
        <w:bottom w:val="none" w:sz="0" w:space="0" w:color="auto"/>
        <w:right w:val="none" w:sz="0" w:space="0" w:color="auto"/>
      </w:divBdr>
      <w:divsChild>
        <w:div w:id="1596867744">
          <w:marLeft w:val="0"/>
          <w:marRight w:val="0"/>
          <w:marTop w:val="0"/>
          <w:marBottom w:val="0"/>
          <w:divBdr>
            <w:top w:val="none" w:sz="0" w:space="0" w:color="auto"/>
            <w:left w:val="none" w:sz="0" w:space="0" w:color="auto"/>
            <w:bottom w:val="none" w:sz="0" w:space="0" w:color="auto"/>
            <w:right w:val="none" w:sz="0" w:space="0" w:color="auto"/>
          </w:divBdr>
          <w:divsChild>
            <w:div w:id="986712474">
              <w:marLeft w:val="0"/>
              <w:marRight w:val="0"/>
              <w:marTop w:val="0"/>
              <w:marBottom w:val="0"/>
              <w:divBdr>
                <w:top w:val="none" w:sz="0" w:space="0" w:color="auto"/>
                <w:left w:val="none" w:sz="0" w:space="0" w:color="auto"/>
                <w:bottom w:val="none" w:sz="0" w:space="0" w:color="auto"/>
                <w:right w:val="none" w:sz="0" w:space="0" w:color="auto"/>
              </w:divBdr>
              <w:divsChild>
                <w:div w:id="2101873106">
                  <w:marLeft w:val="0"/>
                  <w:marRight w:val="0"/>
                  <w:marTop w:val="0"/>
                  <w:marBottom w:val="0"/>
                  <w:divBdr>
                    <w:top w:val="none" w:sz="0" w:space="0" w:color="auto"/>
                    <w:left w:val="none" w:sz="0" w:space="0" w:color="auto"/>
                    <w:bottom w:val="none" w:sz="0" w:space="0" w:color="auto"/>
                    <w:right w:val="none" w:sz="0" w:space="0" w:color="auto"/>
                  </w:divBdr>
                  <w:divsChild>
                    <w:div w:id="495338491">
                      <w:marLeft w:val="0"/>
                      <w:marRight w:val="0"/>
                      <w:marTop w:val="0"/>
                      <w:marBottom w:val="0"/>
                      <w:divBdr>
                        <w:top w:val="none" w:sz="0" w:space="0" w:color="auto"/>
                        <w:left w:val="none" w:sz="0" w:space="0" w:color="auto"/>
                        <w:bottom w:val="none" w:sz="0" w:space="0" w:color="auto"/>
                        <w:right w:val="none" w:sz="0" w:space="0" w:color="auto"/>
                      </w:divBdr>
                      <w:divsChild>
                        <w:div w:id="14304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46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blackwell</dc:creator>
  <cp:keywords/>
  <dc:description/>
  <cp:lastModifiedBy>martin blackwell</cp:lastModifiedBy>
  <cp:revision>3</cp:revision>
  <cp:lastPrinted>2020-12-30T09:01:00Z</cp:lastPrinted>
  <dcterms:created xsi:type="dcterms:W3CDTF">2021-02-03T11:18:00Z</dcterms:created>
  <dcterms:modified xsi:type="dcterms:W3CDTF">2021-02-03T11:22:00Z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e970df-f2ff-4293-ae1d-a92363a14834_Enabled">
    <vt:lpwstr>True</vt:lpwstr>
  </property>
  <property fmtid="{D5CDD505-2E9C-101B-9397-08002B2CF9AE}" pid="3" name="MSIP_Label_c5e970df-f2ff-4293-ae1d-a92363a14834_SiteId">
    <vt:lpwstr>0c5bd621-4db2-45d4-92c6-94708f93fa6e</vt:lpwstr>
  </property>
  <property fmtid="{D5CDD505-2E9C-101B-9397-08002B2CF9AE}" pid="4" name="MSIP_Label_c5e970df-f2ff-4293-ae1d-a92363a14834_Owner">
    <vt:lpwstr>charles.mesquita@quiltercheviot.com</vt:lpwstr>
  </property>
  <property fmtid="{D5CDD505-2E9C-101B-9397-08002B2CF9AE}" pid="5" name="MSIP_Label_c5e970df-f2ff-4293-ae1d-a92363a14834_SetDate">
    <vt:lpwstr>2020-12-22T10:53:00.5742445Z</vt:lpwstr>
  </property>
  <property fmtid="{D5CDD505-2E9C-101B-9397-08002B2CF9AE}" pid="6" name="MSIP_Label_c5e970df-f2ff-4293-ae1d-a92363a14834_Name">
    <vt:lpwstr>Confidential</vt:lpwstr>
  </property>
  <property fmtid="{D5CDD505-2E9C-101B-9397-08002B2CF9AE}" pid="7" name="MSIP_Label_c5e970df-f2ff-4293-ae1d-a92363a14834_Application">
    <vt:lpwstr>Microsoft Azure Information Protection</vt:lpwstr>
  </property>
  <property fmtid="{D5CDD505-2E9C-101B-9397-08002B2CF9AE}" pid="8" name="MSIP_Label_c5e970df-f2ff-4293-ae1d-a92363a14834_ActionId">
    <vt:lpwstr>d293c289-f46e-4971-8d4a-f8d3fa508651</vt:lpwstr>
  </property>
  <property fmtid="{D5CDD505-2E9C-101B-9397-08002B2CF9AE}" pid="9" name="MSIP_Label_c5e970df-f2ff-4293-ae1d-a92363a14834_Extended_MSFT_Method">
    <vt:lpwstr>Manual</vt:lpwstr>
  </property>
  <property fmtid="{D5CDD505-2E9C-101B-9397-08002B2CF9AE}" pid="10" name="Sensitivity">
    <vt:lpwstr>Confidential</vt:lpwstr>
  </property>
</Properties>
</file>