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4507"/>
        <w:gridCol w:w="4508"/>
      </w:tblGrid>
      <w:tr w:rsidR="00C4433D" w14:paraId="6157BD9B" w14:textId="77777777" w:rsidTr="00902137">
        <w:tc>
          <w:tcPr>
            <w:tcW w:w="4508" w:type="dxa"/>
          </w:tcPr>
          <w:p w14:paraId="7909D97D" w14:textId="77777777" w:rsidR="00C4433D" w:rsidRPr="007A73F4" w:rsidRDefault="00C4433D" w:rsidP="00902137">
            <w:pPr>
              <w:rPr>
                <w:i/>
                <w:sz w:val="28"/>
                <w:szCs w:val="28"/>
              </w:rPr>
            </w:pPr>
            <w:r w:rsidRPr="007A73F4">
              <w:rPr>
                <w:i/>
                <w:sz w:val="28"/>
                <w:szCs w:val="28"/>
              </w:rPr>
              <w:t>Chandos &amp; Dent’s Almshouses</w:t>
            </w:r>
          </w:p>
        </w:tc>
        <w:tc>
          <w:tcPr>
            <w:tcW w:w="4508" w:type="dxa"/>
          </w:tcPr>
          <w:p w14:paraId="09E99723" w14:textId="77777777" w:rsidR="00C4433D" w:rsidRPr="007A73F4" w:rsidRDefault="0018333F" w:rsidP="00902137">
            <w:pPr>
              <w:rPr>
                <w:i/>
                <w:sz w:val="28"/>
                <w:szCs w:val="28"/>
              </w:rPr>
            </w:pPr>
            <w:r>
              <w:rPr>
                <w:i/>
                <w:sz w:val="28"/>
                <w:szCs w:val="28"/>
              </w:rPr>
              <w:t xml:space="preserve">Financial </w:t>
            </w:r>
            <w:r w:rsidR="00C4433D">
              <w:rPr>
                <w:i/>
                <w:sz w:val="28"/>
                <w:szCs w:val="28"/>
              </w:rPr>
              <w:t>Authorisation</w:t>
            </w:r>
            <w:r w:rsidR="00C4433D" w:rsidRPr="007A73F4">
              <w:rPr>
                <w:i/>
                <w:sz w:val="28"/>
                <w:szCs w:val="28"/>
              </w:rPr>
              <w:t xml:space="preserve"> Policy</w:t>
            </w:r>
          </w:p>
        </w:tc>
      </w:tr>
      <w:tr w:rsidR="00C4433D" w14:paraId="12945B76" w14:textId="77777777" w:rsidTr="00902137">
        <w:tc>
          <w:tcPr>
            <w:tcW w:w="4508" w:type="dxa"/>
          </w:tcPr>
          <w:p w14:paraId="7E11BD5E" w14:textId="77777777" w:rsidR="00C4433D" w:rsidRPr="007A73F4" w:rsidRDefault="00C4433D" w:rsidP="00902137">
            <w:pPr>
              <w:rPr>
                <w:i/>
                <w:sz w:val="28"/>
                <w:szCs w:val="28"/>
              </w:rPr>
            </w:pPr>
            <w:r w:rsidRPr="007A73F4">
              <w:rPr>
                <w:i/>
                <w:sz w:val="28"/>
                <w:szCs w:val="28"/>
              </w:rPr>
              <w:t>Owner</w:t>
            </w:r>
          </w:p>
        </w:tc>
        <w:tc>
          <w:tcPr>
            <w:tcW w:w="4508" w:type="dxa"/>
          </w:tcPr>
          <w:p w14:paraId="099ACC18" w14:textId="77777777" w:rsidR="00C4433D" w:rsidRPr="007A73F4" w:rsidRDefault="00C4433D" w:rsidP="00902137">
            <w:pPr>
              <w:rPr>
                <w:i/>
                <w:sz w:val="28"/>
                <w:szCs w:val="28"/>
              </w:rPr>
            </w:pPr>
            <w:r w:rsidRPr="007A73F4">
              <w:rPr>
                <w:i/>
                <w:sz w:val="28"/>
                <w:szCs w:val="28"/>
              </w:rPr>
              <w:t xml:space="preserve">Finance </w:t>
            </w:r>
          </w:p>
        </w:tc>
      </w:tr>
      <w:tr w:rsidR="00C4433D" w14:paraId="2D03121C" w14:textId="77777777" w:rsidTr="00902137">
        <w:tc>
          <w:tcPr>
            <w:tcW w:w="4508" w:type="dxa"/>
          </w:tcPr>
          <w:p w14:paraId="60856DD2" w14:textId="77777777" w:rsidR="00C4433D" w:rsidRPr="007A73F4" w:rsidRDefault="00C4433D" w:rsidP="00902137">
            <w:pPr>
              <w:rPr>
                <w:i/>
                <w:sz w:val="28"/>
                <w:szCs w:val="28"/>
              </w:rPr>
            </w:pPr>
            <w:r w:rsidRPr="007A73F4">
              <w:rPr>
                <w:i/>
                <w:sz w:val="28"/>
                <w:szCs w:val="28"/>
              </w:rPr>
              <w:t>Author</w:t>
            </w:r>
          </w:p>
        </w:tc>
        <w:tc>
          <w:tcPr>
            <w:tcW w:w="4508" w:type="dxa"/>
          </w:tcPr>
          <w:p w14:paraId="79D2F4B7" w14:textId="77777777" w:rsidR="00C4433D" w:rsidRPr="007A73F4" w:rsidRDefault="00C4433D" w:rsidP="00902137">
            <w:pPr>
              <w:rPr>
                <w:i/>
                <w:sz w:val="28"/>
                <w:szCs w:val="28"/>
              </w:rPr>
            </w:pPr>
            <w:r w:rsidRPr="007A73F4">
              <w:rPr>
                <w:i/>
                <w:sz w:val="28"/>
                <w:szCs w:val="28"/>
              </w:rPr>
              <w:t>Martin Blackwell</w:t>
            </w:r>
          </w:p>
        </w:tc>
      </w:tr>
      <w:tr w:rsidR="00C4433D" w14:paraId="2BB90EA7" w14:textId="77777777" w:rsidTr="00902137">
        <w:tc>
          <w:tcPr>
            <w:tcW w:w="4508" w:type="dxa"/>
          </w:tcPr>
          <w:p w14:paraId="69DA78F0" w14:textId="77777777" w:rsidR="00C4433D" w:rsidRPr="007A73F4" w:rsidRDefault="00C4433D" w:rsidP="00902137">
            <w:pPr>
              <w:rPr>
                <w:i/>
                <w:sz w:val="28"/>
                <w:szCs w:val="28"/>
              </w:rPr>
            </w:pPr>
            <w:r w:rsidRPr="007A73F4">
              <w:rPr>
                <w:i/>
                <w:sz w:val="28"/>
                <w:szCs w:val="28"/>
              </w:rPr>
              <w:t>Created or last revision</w:t>
            </w:r>
          </w:p>
        </w:tc>
        <w:tc>
          <w:tcPr>
            <w:tcW w:w="4508" w:type="dxa"/>
          </w:tcPr>
          <w:p w14:paraId="7D5E74F0" w14:textId="4BB74528" w:rsidR="00C4433D" w:rsidRPr="007A73F4" w:rsidRDefault="001F4EBC" w:rsidP="00902137">
            <w:pPr>
              <w:rPr>
                <w:i/>
                <w:sz w:val="28"/>
                <w:szCs w:val="28"/>
              </w:rPr>
            </w:pPr>
            <w:r>
              <w:rPr>
                <w:i/>
                <w:sz w:val="28"/>
                <w:szCs w:val="28"/>
              </w:rPr>
              <w:t>0</w:t>
            </w:r>
            <w:r w:rsidR="00D561F1">
              <w:rPr>
                <w:i/>
                <w:sz w:val="28"/>
                <w:szCs w:val="28"/>
              </w:rPr>
              <w:t>6</w:t>
            </w:r>
            <w:r>
              <w:rPr>
                <w:i/>
                <w:sz w:val="28"/>
                <w:szCs w:val="28"/>
              </w:rPr>
              <w:t>/</w:t>
            </w:r>
            <w:r w:rsidR="00D561F1">
              <w:rPr>
                <w:i/>
                <w:sz w:val="28"/>
                <w:szCs w:val="28"/>
              </w:rPr>
              <w:t>11</w:t>
            </w:r>
            <w:r>
              <w:rPr>
                <w:i/>
                <w:sz w:val="28"/>
                <w:szCs w:val="28"/>
              </w:rPr>
              <w:t>/2</w:t>
            </w:r>
            <w:r w:rsidR="002D2D21">
              <w:rPr>
                <w:i/>
                <w:sz w:val="28"/>
                <w:szCs w:val="28"/>
              </w:rPr>
              <w:t>3</w:t>
            </w:r>
          </w:p>
        </w:tc>
      </w:tr>
      <w:tr w:rsidR="00C4433D" w14:paraId="4F360BF9" w14:textId="77777777" w:rsidTr="00902137">
        <w:tc>
          <w:tcPr>
            <w:tcW w:w="4508" w:type="dxa"/>
          </w:tcPr>
          <w:p w14:paraId="7573F30F" w14:textId="77777777" w:rsidR="00C4433D" w:rsidRPr="007A73F4" w:rsidRDefault="00C4433D" w:rsidP="00902137">
            <w:pPr>
              <w:rPr>
                <w:i/>
                <w:sz w:val="28"/>
                <w:szCs w:val="28"/>
              </w:rPr>
            </w:pPr>
            <w:r w:rsidRPr="007A73F4">
              <w:rPr>
                <w:i/>
                <w:sz w:val="28"/>
                <w:szCs w:val="28"/>
              </w:rPr>
              <w:t>Review Date</w:t>
            </w:r>
          </w:p>
        </w:tc>
        <w:tc>
          <w:tcPr>
            <w:tcW w:w="4508" w:type="dxa"/>
          </w:tcPr>
          <w:p w14:paraId="7C4070D8" w14:textId="1BA1C3C9" w:rsidR="00C4433D" w:rsidRPr="007A73F4" w:rsidRDefault="001F4EBC" w:rsidP="00902137">
            <w:pPr>
              <w:rPr>
                <w:i/>
                <w:sz w:val="28"/>
                <w:szCs w:val="28"/>
              </w:rPr>
            </w:pPr>
            <w:r>
              <w:rPr>
                <w:i/>
                <w:sz w:val="28"/>
                <w:szCs w:val="28"/>
              </w:rPr>
              <w:t>0</w:t>
            </w:r>
            <w:r w:rsidR="002D2D21">
              <w:rPr>
                <w:i/>
                <w:sz w:val="28"/>
                <w:szCs w:val="28"/>
              </w:rPr>
              <w:t>6</w:t>
            </w:r>
            <w:r>
              <w:rPr>
                <w:i/>
                <w:sz w:val="28"/>
                <w:szCs w:val="28"/>
              </w:rPr>
              <w:t>/</w:t>
            </w:r>
            <w:r w:rsidR="002D2D21">
              <w:rPr>
                <w:i/>
                <w:sz w:val="28"/>
                <w:szCs w:val="28"/>
              </w:rPr>
              <w:t>11</w:t>
            </w:r>
            <w:r>
              <w:rPr>
                <w:i/>
                <w:sz w:val="28"/>
                <w:szCs w:val="28"/>
              </w:rPr>
              <w:t>/2</w:t>
            </w:r>
            <w:r w:rsidR="002D2D21">
              <w:rPr>
                <w:i/>
                <w:sz w:val="28"/>
                <w:szCs w:val="28"/>
              </w:rPr>
              <w:t>5</w:t>
            </w:r>
          </w:p>
        </w:tc>
      </w:tr>
    </w:tbl>
    <w:p w14:paraId="677632E3" w14:textId="77777777" w:rsidR="00537710" w:rsidRPr="00537710" w:rsidRDefault="00537710">
      <w:pPr>
        <w:rPr>
          <w:b/>
          <w:sz w:val="28"/>
          <w:szCs w:val="28"/>
          <w:u w:val="single"/>
        </w:rPr>
      </w:pPr>
    </w:p>
    <w:p w14:paraId="3C8B09BA" w14:textId="77777777" w:rsidR="00537710" w:rsidRPr="0066355B" w:rsidRDefault="00537710" w:rsidP="00537710">
      <w:pPr>
        <w:pStyle w:val="ColorfulList-Accent11"/>
        <w:numPr>
          <w:ilvl w:val="0"/>
          <w:numId w:val="1"/>
        </w:numPr>
        <w:rPr>
          <w:b/>
          <w:sz w:val="28"/>
          <w:szCs w:val="28"/>
        </w:rPr>
      </w:pPr>
      <w:r w:rsidRPr="0066355B">
        <w:rPr>
          <w:b/>
          <w:sz w:val="28"/>
          <w:szCs w:val="28"/>
        </w:rPr>
        <w:t>Background</w:t>
      </w:r>
    </w:p>
    <w:p w14:paraId="3D01078D" w14:textId="77777777" w:rsidR="002F0FAA" w:rsidRPr="00537710" w:rsidRDefault="002F0FAA" w:rsidP="002F0FAA">
      <w:pPr>
        <w:pStyle w:val="ColorfulList-Accent11"/>
        <w:ind w:left="1080"/>
        <w:rPr>
          <w:sz w:val="28"/>
          <w:szCs w:val="28"/>
        </w:rPr>
      </w:pPr>
    </w:p>
    <w:p w14:paraId="6B8B8409" w14:textId="77777777" w:rsidR="00537710" w:rsidRPr="00537710" w:rsidRDefault="00537710" w:rsidP="00537710">
      <w:pPr>
        <w:pStyle w:val="ColorfulList-Accent11"/>
        <w:ind w:left="1080"/>
        <w:rPr>
          <w:sz w:val="28"/>
          <w:szCs w:val="28"/>
        </w:rPr>
      </w:pPr>
      <w:r w:rsidRPr="00537710">
        <w:rPr>
          <w:sz w:val="28"/>
          <w:szCs w:val="28"/>
        </w:rPr>
        <w:t>Trustees are jointly and severally liable for loss of or misappropriation of Trust assets and property.</w:t>
      </w:r>
    </w:p>
    <w:p w14:paraId="475984F5" w14:textId="5A65F69C" w:rsidR="00F555E9" w:rsidRDefault="00537710" w:rsidP="00F555E9">
      <w:pPr>
        <w:pStyle w:val="ColorfulList-Accent11"/>
        <w:ind w:left="1080"/>
        <w:rPr>
          <w:sz w:val="28"/>
          <w:szCs w:val="28"/>
        </w:rPr>
      </w:pPr>
      <w:r w:rsidRPr="00537710">
        <w:rPr>
          <w:sz w:val="28"/>
          <w:szCs w:val="28"/>
        </w:rPr>
        <w:t xml:space="preserve">In accordance with recommendations of the Charity Commission and to </w:t>
      </w:r>
      <w:r w:rsidR="002F0FAA">
        <w:rPr>
          <w:sz w:val="28"/>
          <w:szCs w:val="28"/>
        </w:rPr>
        <w:t xml:space="preserve">help </w:t>
      </w:r>
      <w:r w:rsidRPr="00537710">
        <w:rPr>
          <w:sz w:val="28"/>
          <w:szCs w:val="28"/>
        </w:rPr>
        <w:t xml:space="preserve">safeguard the assets of the Trust, it is necessary to limit the authority of any one </w:t>
      </w:r>
      <w:r w:rsidR="0068276F">
        <w:rPr>
          <w:sz w:val="28"/>
          <w:szCs w:val="28"/>
        </w:rPr>
        <w:t>T</w:t>
      </w:r>
      <w:r w:rsidRPr="00537710">
        <w:rPr>
          <w:sz w:val="28"/>
          <w:szCs w:val="28"/>
        </w:rPr>
        <w:t>rustee or subcommittee, and to help ensure that material financial and non-financial matters are properly authorised</w:t>
      </w:r>
      <w:r w:rsidR="00026554">
        <w:rPr>
          <w:sz w:val="28"/>
          <w:szCs w:val="28"/>
        </w:rPr>
        <w:t xml:space="preserve"> </w:t>
      </w:r>
      <w:r w:rsidR="00F555E9">
        <w:rPr>
          <w:sz w:val="28"/>
          <w:szCs w:val="28"/>
        </w:rPr>
        <w:t>and managed from the outset through to payment</w:t>
      </w:r>
      <w:r w:rsidR="00F555E9" w:rsidRPr="00537710">
        <w:rPr>
          <w:sz w:val="28"/>
          <w:szCs w:val="28"/>
        </w:rPr>
        <w:t>.</w:t>
      </w:r>
    </w:p>
    <w:p w14:paraId="625548F9" w14:textId="5090B469" w:rsidR="00537710" w:rsidRDefault="00537710" w:rsidP="00537710">
      <w:pPr>
        <w:pStyle w:val="ColorfulList-Accent11"/>
        <w:ind w:left="1080"/>
        <w:rPr>
          <w:sz w:val="28"/>
          <w:szCs w:val="28"/>
        </w:rPr>
      </w:pPr>
    </w:p>
    <w:p w14:paraId="7CDD7476" w14:textId="77777777" w:rsidR="00451BDB" w:rsidRDefault="00451BDB" w:rsidP="00537710">
      <w:pPr>
        <w:pStyle w:val="ColorfulList-Accent11"/>
        <w:ind w:left="1080"/>
        <w:rPr>
          <w:sz w:val="28"/>
          <w:szCs w:val="28"/>
        </w:rPr>
      </w:pPr>
    </w:p>
    <w:p w14:paraId="56C9C44F" w14:textId="1ACB5047" w:rsidR="00062A96" w:rsidRPr="00AE1791" w:rsidRDefault="00451BDB" w:rsidP="003D4E5C">
      <w:pPr>
        <w:pStyle w:val="ColorfulList-Accent11"/>
        <w:numPr>
          <w:ilvl w:val="0"/>
          <w:numId w:val="1"/>
        </w:numPr>
        <w:rPr>
          <w:sz w:val="28"/>
          <w:szCs w:val="28"/>
        </w:rPr>
      </w:pPr>
      <w:r w:rsidRPr="00AE1791">
        <w:rPr>
          <w:b/>
          <w:sz w:val="28"/>
          <w:szCs w:val="28"/>
        </w:rPr>
        <w:t>Budget</w:t>
      </w:r>
      <w:r w:rsidR="006779F4" w:rsidRPr="00AE1791">
        <w:rPr>
          <w:b/>
          <w:sz w:val="28"/>
          <w:szCs w:val="28"/>
        </w:rPr>
        <w:t>s</w:t>
      </w:r>
      <w:r w:rsidRPr="00AE1791">
        <w:rPr>
          <w:sz w:val="28"/>
          <w:szCs w:val="28"/>
        </w:rPr>
        <w:br/>
      </w:r>
      <w:r w:rsidRPr="00AE1791">
        <w:rPr>
          <w:sz w:val="28"/>
          <w:szCs w:val="28"/>
        </w:rPr>
        <w:br/>
        <w:t xml:space="preserve">The </w:t>
      </w:r>
      <w:r w:rsidR="0068276F" w:rsidRPr="00AE1791">
        <w:rPr>
          <w:sz w:val="28"/>
          <w:szCs w:val="28"/>
        </w:rPr>
        <w:t>T</w:t>
      </w:r>
      <w:r w:rsidRPr="00AE1791">
        <w:rPr>
          <w:sz w:val="28"/>
          <w:szCs w:val="28"/>
        </w:rPr>
        <w:t xml:space="preserve">rustees will agree an annual budget by a resolution at a properly convened trustees meeting passed by a simple majority of </w:t>
      </w:r>
      <w:r w:rsidR="0068276F" w:rsidRPr="00AE1791">
        <w:rPr>
          <w:sz w:val="28"/>
          <w:szCs w:val="28"/>
        </w:rPr>
        <w:t>T</w:t>
      </w:r>
      <w:r w:rsidRPr="00AE1791">
        <w:rPr>
          <w:sz w:val="28"/>
          <w:szCs w:val="28"/>
        </w:rPr>
        <w:t xml:space="preserve">rustees present. </w:t>
      </w:r>
      <w:r w:rsidR="006779F4" w:rsidRPr="00AE1791">
        <w:rPr>
          <w:sz w:val="28"/>
          <w:szCs w:val="28"/>
        </w:rPr>
        <w:t xml:space="preserve">The budget will set limits on the </w:t>
      </w:r>
      <w:r w:rsidR="003D4E5C" w:rsidRPr="00AE1791">
        <w:rPr>
          <w:sz w:val="28"/>
          <w:szCs w:val="28"/>
        </w:rPr>
        <w:t>T</w:t>
      </w:r>
      <w:r w:rsidR="006779F4" w:rsidRPr="00AE1791">
        <w:rPr>
          <w:sz w:val="28"/>
          <w:szCs w:val="28"/>
        </w:rPr>
        <w:t xml:space="preserve">rust’s annual spend for the following financial year </w:t>
      </w:r>
      <w:r w:rsidR="00052070" w:rsidRPr="00AE1791">
        <w:rPr>
          <w:sz w:val="28"/>
          <w:szCs w:val="28"/>
        </w:rPr>
        <w:t xml:space="preserve">(January to December) </w:t>
      </w:r>
      <w:r w:rsidR="006779F4" w:rsidRPr="00AE1791">
        <w:rPr>
          <w:sz w:val="28"/>
          <w:szCs w:val="28"/>
        </w:rPr>
        <w:t xml:space="preserve">broken down by headings as deemed appropriate. </w:t>
      </w:r>
      <w:r w:rsidR="003D4E5C" w:rsidRPr="00AE1791">
        <w:rPr>
          <w:color w:val="000000"/>
          <w:sz w:val="28"/>
          <w:szCs w:val="28"/>
        </w:rPr>
        <w:t xml:space="preserve">The budget should be set at the Autumn </w:t>
      </w:r>
      <w:r w:rsidR="0068276F" w:rsidRPr="00AE1791">
        <w:rPr>
          <w:color w:val="000000"/>
          <w:sz w:val="28"/>
          <w:szCs w:val="28"/>
        </w:rPr>
        <w:t>T</w:t>
      </w:r>
      <w:r w:rsidR="003D4E5C" w:rsidRPr="00AE1791">
        <w:rPr>
          <w:color w:val="000000"/>
          <w:sz w:val="28"/>
          <w:szCs w:val="28"/>
        </w:rPr>
        <w:t>rustees</w:t>
      </w:r>
      <w:r w:rsidR="0070783D">
        <w:rPr>
          <w:color w:val="000000"/>
          <w:sz w:val="28"/>
          <w:szCs w:val="28"/>
        </w:rPr>
        <w:t>’</w:t>
      </w:r>
      <w:r w:rsidR="003D4E5C" w:rsidRPr="00AE1791">
        <w:rPr>
          <w:color w:val="000000"/>
          <w:sz w:val="28"/>
          <w:szCs w:val="28"/>
        </w:rPr>
        <w:t xml:space="preserve"> </w:t>
      </w:r>
      <w:r w:rsidR="0070783D">
        <w:rPr>
          <w:color w:val="000000"/>
          <w:sz w:val="28"/>
          <w:szCs w:val="28"/>
        </w:rPr>
        <w:t>M</w:t>
      </w:r>
      <w:r w:rsidR="003D4E5C" w:rsidRPr="00AE1791">
        <w:rPr>
          <w:color w:val="000000"/>
          <w:sz w:val="28"/>
          <w:szCs w:val="28"/>
        </w:rPr>
        <w:t>eeting and no later than 30 November</w:t>
      </w:r>
      <w:r w:rsidR="00052070" w:rsidRPr="00AE1791">
        <w:rPr>
          <w:color w:val="000000"/>
          <w:sz w:val="28"/>
          <w:szCs w:val="28"/>
        </w:rPr>
        <w:t>.</w:t>
      </w:r>
    </w:p>
    <w:p w14:paraId="157CE4D7" w14:textId="77777777" w:rsidR="00052070" w:rsidRPr="00AE1791" w:rsidRDefault="00052070" w:rsidP="00052070">
      <w:pPr>
        <w:pStyle w:val="ColorfulList-Accent11"/>
        <w:rPr>
          <w:sz w:val="28"/>
          <w:szCs w:val="28"/>
        </w:rPr>
      </w:pPr>
    </w:p>
    <w:p w14:paraId="7363D349" w14:textId="1596FB4C" w:rsidR="00052070" w:rsidRPr="0018333F" w:rsidRDefault="00052070" w:rsidP="00052070">
      <w:pPr>
        <w:pStyle w:val="ColorfulList-Accent11"/>
        <w:ind w:left="1080"/>
        <w:rPr>
          <w:sz w:val="28"/>
          <w:szCs w:val="28"/>
        </w:rPr>
      </w:pPr>
      <w:r w:rsidRPr="00AE1791">
        <w:rPr>
          <w:sz w:val="28"/>
          <w:szCs w:val="28"/>
        </w:rPr>
        <w:t xml:space="preserve">A rolling </w:t>
      </w:r>
      <w:proofErr w:type="gramStart"/>
      <w:r w:rsidRPr="00AE1791">
        <w:rPr>
          <w:sz w:val="28"/>
          <w:szCs w:val="28"/>
        </w:rPr>
        <w:t>5 year</w:t>
      </w:r>
      <w:proofErr w:type="gramEnd"/>
      <w:r w:rsidRPr="00AE1791">
        <w:rPr>
          <w:sz w:val="28"/>
          <w:szCs w:val="28"/>
        </w:rPr>
        <w:t xml:space="preserve"> budget</w:t>
      </w:r>
      <w:r w:rsidR="00026554">
        <w:rPr>
          <w:sz w:val="28"/>
          <w:szCs w:val="28"/>
        </w:rPr>
        <w:t xml:space="preserve"> will</w:t>
      </w:r>
      <w:r w:rsidRPr="00AE1791">
        <w:rPr>
          <w:sz w:val="28"/>
          <w:szCs w:val="28"/>
        </w:rPr>
        <w:t xml:space="preserve"> be maintained using all available data and estimations.</w:t>
      </w:r>
    </w:p>
    <w:p w14:paraId="57AD86C9" w14:textId="77777777" w:rsidR="008A1A5C" w:rsidRPr="0018333F" w:rsidRDefault="008A1A5C" w:rsidP="0018333F">
      <w:pPr>
        <w:pStyle w:val="ColorfulList-Accent11"/>
        <w:ind w:left="1080"/>
        <w:rPr>
          <w:sz w:val="28"/>
          <w:szCs w:val="28"/>
        </w:rPr>
      </w:pPr>
    </w:p>
    <w:p w14:paraId="3718C32F" w14:textId="14B2B00B" w:rsidR="00062A96" w:rsidRPr="0018333F" w:rsidRDefault="00062A96" w:rsidP="00451BDB">
      <w:pPr>
        <w:pStyle w:val="ColorfulList-Accent11"/>
        <w:numPr>
          <w:ilvl w:val="0"/>
          <w:numId w:val="1"/>
        </w:numPr>
        <w:rPr>
          <w:sz w:val="28"/>
          <w:szCs w:val="28"/>
        </w:rPr>
      </w:pPr>
      <w:r>
        <w:rPr>
          <w:b/>
          <w:sz w:val="28"/>
          <w:szCs w:val="28"/>
        </w:rPr>
        <w:t>Major Projects</w:t>
      </w:r>
    </w:p>
    <w:p w14:paraId="4C04A6B5" w14:textId="77777777" w:rsidR="008A1A5C" w:rsidRDefault="008A1A5C" w:rsidP="0018333F">
      <w:pPr>
        <w:pStyle w:val="ColorfulList-Accent11"/>
        <w:rPr>
          <w:sz w:val="28"/>
          <w:szCs w:val="28"/>
        </w:rPr>
      </w:pPr>
    </w:p>
    <w:p w14:paraId="697C5647" w14:textId="3E7B04BD" w:rsidR="008A1A5C" w:rsidRDefault="006779F4" w:rsidP="0018333F">
      <w:pPr>
        <w:pStyle w:val="ColorfulList-Accent11"/>
        <w:ind w:left="1080"/>
        <w:rPr>
          <w:sz w:val="28"/>
          <w:szCs w:val="28"/>
        </w:rPr>
      </w:pPr>
      <w:r w:rsidRPr="006779F4">
        <w:rPr>
          <w:sz w:val="28"/>
          <w:szCs w:val="28"/>
        </w:rPr>
        <w:t xml:space="preserve">If the </w:t>
      </w:r>
      <w:r w:rsidR="00052070">
        <w:rPr>
          <w:sz w:val="28"/>
          <w:szCs w:val="28"/>
        </w:rPr>
        <w:t>T</w:t>
      </w:r>
      <w:r w:rsidRPr="006779F4">
        <w:rPr>
          <w:sz w:val="28"/>
          <w:szCs w:val="28"/>
        </w:rPr>
        <w:t xml:space="preserve">rust is undertaking a </w:t>
      </w:r>
      <w:r w:rsidR="0070783D">
        <w:rPr>
          <w:sz w:val="28"/>
          <w:szCs w:val="28"/>
        </w:rPr>
        <w:t>m</w:t>
      </w:r>
      <w:r w:rsidRPr="006779F4">
        <w:rPr>
          <w:sz w:val="28"/>
          <w:szCs w:val="28"/>
        </w:rPr>
        <w:t>ajor</w:t>
      </w:r>
      <w:r w:rsidR="00026554">
        <w:rPr>
          <w:sz w:val="28"/>
          <w:szCs w:val="28"/>
        </w:rPr>
        <w:t xml:space="preserve"> project or commitment</w:t>
      </w:r>
      <w:r w:rsidRPr="006779F4">
        <w:rPr>
          <w:sz w:val="28"/>
          <w:szCs w:val="28"/>
        </w:rPr>
        <w:t xml:space="preserve">, </w:t>
      </w:r>
      <w:r w:rsidR="00052070">
        <w:rPr>
          <w:sz w:val="28"/>
          <w:szCs w:val="28"/>
        </w:rPr>
        <w:t xml:space="preserve">whether phased or not, </w:t>
      </w:r>
      <w:r w:rsidRPr="006779F4">
        <w:rPr>
          <w:sz w:val="28"/>
          <w:szCs w:val="28"/>
        </w:rPr>
        <w:t xml:space="preserve">then </w:t>
      </w:r>
      <w:r w:rsidR="00F555E9">
        <w:rPr>
          <w:sz w:val="28"/>
          <w:szCs w:val="28"/>
        </w:rPr>
        <w:t xml:space="preserve">the Treasurer must be notified of the intended proposal with a budget cost and must be regularly updated. In </w:t>
      </w:r>
      <w:proofErr w:type="gramStart"/>
      <w:r w:rsidR="00F555E9">
        <w:rPr>
          <w:sz w:val="28"/>
          <w:szCs w:val="28"/>
        </w:rPr>
        <w:t>addition</w:t>
      </w:r>
      <w:proofErr w:type="gramEnd"/>
      <w:r w:rsidR="00F555E9" w:rsidRPr="006779F4">
        <w:rPr>
          <w:sz w:val="28"/>
          <w:szCs w:val="28"/>
        </w:rPr>
        <w:t xml:space="preserve"> </w:t>
      </w:r>
      <w:r w:rsidRPr="006779F4">
        <w:rPr>
          <w:sz w:val="28"/>
          <w:szCs w:val="28"/>
        </w:rPr>
        <w:t>a project proposal accepted by a resolution at a prope</w:t>
      </w:r>
      <w:r w:rsidR="0052652E">
        <w:rPr>
          <w:sz w:val="28"/>
          <w:szCs w:val="28"/>
        </w:rPr>
        <w:t xml:space="preserve">rly convened </w:t>
      </w:r>
      <w:r w:rsidR="0068276F">
        <w:rPr>
          <w:sz w:val="28"/>
          <w:szCs w:val="28"/>
        </w:rPr>
        <w:t>T</w:t>
      </w:r>
      <w:r w:rsidR="0052652E">
        <w:rPr>
          <w:sz w:val="28"/>
          <w:szCs w:val="28"/>
        </w:rPr>
        <w:t xml:space="preserve">rustees meeting </w:t>
      </w:r>
      <w:r w:rsidRPr="006779F4">
        <w:rPr>
          <w:sz w:val="28"/>
          <w:szCs w:val="28"/>
        </w:rPr>
        <w:t xml:space="preserve">passed by a simple majority of </w:t>
      </w:r>
      <w:r w:rsidR="0068276F">
        <w:rPr>
          <w:sz w:val="28"/>
          <w:szCs w:val="28"/>
        </w:rPr>
        <w:t>T</w:t>
      </w:r>
      <w:r w:rsidRPr="006779F4">
        <w:rPr>
          <w:sz w:val="28"/>
          <w:szCs w:val="28"/>
        </w:rPr>
        <w:t>rustees present</w:t>
      </w:r>
      <w:r>
        <w:rPr>
          <w:sz w:val="28"/>
          <w:szCs w:val="28"/>
        </w:rPr>
        <w:t>,</w:t>
      </w:r>
      <w:r w:rsidRPr="006779F4">
        <w:rPr>
          <w:sz w:val="28"/>
          <w:szCs w:val="28"/>
        </w:rPr>
        <w:t xml:space="preserve"> will contain details of the budgetary limits for that </w:t>
      </w:r>
      <w:r w:rsidR="00BC0771">
        <w:rPr>
          <w:sz w:val="28"/>
          <w:szCs w:val="28"/>
        </w:rPr>
        <w:t xml:space="preserve">complete </w:t>
      </w:r>
      <w:r w:rsidRPr="006779F4">
        <w:rPr>
          <w:sz w:val="28"/>
          <w:szCs w:val="28"/>
        </w:rPr>
        <w:t>project</w:t>
      </w:r>
      <w:r w:rsidR="00026554">
        <w:rPr>
          <w:sz w:val="28"/>
          <w:szCs w:val="28"/>
        </w:rPr>
        <w:t xml:space="preserve"> or commitment</w:t>
      </w:r>
      <w:r w:rsidRPr="006779F4">
        <w:rPr>
          <w:sz w:val="28"/>
          <w:szCs w:val="28"/>
        </w:rPr>
        <w:t xml:space="preserve"> (this could expedite project spending which might otherwise be constrained by the purchasing commitment limits set out in section </w:t>
      </w:r>
      <w:r w:rsidR="00062A96">
        <w:rPr>
          <w:sz w:val="28"/>
          <w:szCs w:val="28"/>
        </w:rPr>
        <w:t>4</w:t>
      </w:r>
      <w:r w:rsidRPr="006779F4">
        <w:rPr>
          <w:sz w:val="28"/>
          <w:szCs w:val="28"/>
        </w:rPr>
        <w:t xml:space="preserve">). </w:t>
      </w:r>
      <w:r w:rsidR="002416DA">
        <w:rPr>
          <w:sz w:val="28"/>
          <w:szCs w:val="28"/>
        </w:rPr>
        <w:t xml:space="preserve">This </w:t>
      </w:r>
      <w:r w:rsidR="002416DA">
        <w:rPr>
          <w:sz w:val="28"/>
          <w:szCs w:val="28"/>
        </w:rPr>
        <w:lastRenderedPageBreak/>
        <w:t xml:space="preserve">proposal will contain a budget estimate, quotations (where </w:t>
      </w:r>
      <w:proofErr w:type="gramStart"/>
      <w:r w:rsidR="002416DA">
        <w:rPr>
          <w:sz w:val="28"/>
          <w:szCs w:val="28"/>
        </w:rPr>
        <w:t>necessary)  and</w:t>
      </w:r>
      <w:proofErr w:type="gramEnd"/>
      <w:r w:rsidR="002416DA">
        <w:rPr>
          <w:sz w:val="28"/>
          <w:szCs w:val="28"/>
        </w:rPr>
        <w:t xml:space="preserve"> a cashflow plan.</w:t>
      </w:r>
    </w:p>
    <w:p w14:paraId="04C7A8C4" w14:textId="77777777" w:rsidR="00C847E9" w:rsidRDefault="00C847E9" w:rsidP="0018333F">
      <w:pPr>
        <w:pStyle w:val="ColorfulList-Accent11"/>
        <w:ind w:left="1080"/>
        <w:rPr>
          <w:sz w:val="28"/>
          <w:szCs w:val="28"/>
        </w:rPr>
      </w:pPr>
    </w:p>
    <w:p w14:paraId="6206CA8A" w14:textId="77777777" w:rsidR="002F0FAA" w:rsidRDefault="002F0FAA" w:rsidP="00537710">
      <w:pPr>
        <w:pStyle w:val="ColorfulList-Accent11"/>
        <w:ind w:left="1080"/>
        <w:rPr>
          <w:sz w:val="28"/>
          <w:szCs w:val="28"/>
        </w:rPr>
      </w:pPr>
    </w:p>
    <w:p w14:paraId="39950DCA" w14:textId="77777777" w:rsidR="00537710" w:rsidRDefault="00451BDB" w:rsidP="00545A82">
      <w:pPr>
        <w:pStyle w:val="ColorfulList-Accent11"/>
        <w:numPr>
          <w:ilvl w:val="0"/>
          <w:numId w:val="1"/>
        </w:numPr>
        <w:rPr>
          <w:b/>
          <w:sz w:val="28"/>
          <w:szCs w:val="28"/>
        </w:rPr>
      </w:pPr>
      <w:r w:rsidRPr="0066355B">
        <w:rPr>
          <w:b/>
          <w:sz w:val="28"/>
          <w:szCs w:val="28"/>
        </w:rPr>
        <w:t>Purchasing Commitments</w:t>
      </w:r>
      <w:r w:rsidR="00FD5C8E" w:rsidRPr="0066355B">
        <w:rPr>
          <w:b/>
          <w:sz w:val="28"/>
          <w:szCs w:val="28"/>
        </w:rPr>
        <w:br/>
      </w:r>
    </w:p>
    <w:p w14:paraId="263EC950" w14:textId="77777777" w:rsidR="003E7C28" w:rsidRPr="003E7C28" w:rsidRDefault="003E7C28" w:rsidP="003E7C28">
      <w:pPr>
        <w:pStyle w:val="ColorfulList-Accent11"/>
        <w:ind w:left="1080"/>
        <w:rPr>
          <w:color w:val="FF0000"/>
          <w:sz w:val="28"/>
          <w:szCs w:val="28"/>
        </w:rPr>
      </w:pPr>
      <w:proofErr w:type="gramStart"/>
      <w:r w:rsidRPr="003E7C28">
        <w:rPr>
          <w:color w:val="FF0000"/>
          <w:sz w:val="28"/>
          <w:szCs w:val="28"/>
        </w:rPr>
        <w:t>In order to</w:t>
      </w:r>
      <w:proofErr w:type="gramEnd"/>
      <w:r w:rsidRPr="003E7C28">
        <w:rPr>
          <w:color w:val="FF0000"/>
          <w:sz w:val="28"/>
          <w:szCs w:val="28"/>
        </w:rPr>
        <w:t xml:space="preserve"> protect the Trust, any meeting with an external supplier </w:t>
      </w:r>
      <w:r w:rsidR="00026554">
        <w:rPr>
          <w:color w:val="FF0000"/>
          <w:sz w:val="28"/>
          <w:szCs w:val="28"/>
        </w:rPr>
        <w:t xml:space="preserve">or other third party </w:t>
      </w:r>
      <w:r w:rsidRPr="003E7C28">
        <w:rPr>
          <w:color w:val="FF0000"/>
          <w:sz w:val="28"/>
          <w:szCs w:val="28"/>
        </w:rPr>
        <w:t>which might lead to</w:t>
      </w:r>
      <w:r>
        <w:rPr>
          <w:color w:val="FF0000"/>
          <w:sz w:val="28"/>
          <w:szCs w:val="28"/>
        </w:rPr>
        <w:t>,</w:t>
      </w:r>
      <w:r w:rsidRPr="003E7C28">
        <w:rPr>
          <w:color w:val="FF0000"/>
          <w:sz w:val="28"/>
          <w:szCs w:val="28"/>
        </w:rPr>
        <w:t xml:space="preserve"> or be construed to be</w:t>
      </w:r>
      <w:r>
        <w:rPr>
          <w:color w:val="FF0000"/>
          <w:sz w:val="28"/>
          <w:szCs w:val="28"/>
        </w:rPr>
        <w:t>,</w:t>
      </w:r>
      <w:r w:rsidRPr="003E7C28">
        <w:rPr>
          <w:color w:val="FF0000"/>
          <w:sz w:val="28"/>
          <w:szCs w:val="28"/>
        </w:rPr>
        <w:t xml:space="preserve"> a financial commitment should be attended by at least two Trustees.</w:t>
      </w:r>
      <w:r>
        <w:rPr>
          <w:color w:val="FF0000"/>
          <w:sz w:val="28"/>
          <w:szCs w:val="28"/>
        </w:rPr>
        <w:t xml:space="preserve"> No Trustee should commit the Trust to anything other than minor expenditure verbally.</w:t>
      </w:r>
    </w:p>
    <w:p w14:paraId="51BDCE1D" w14:textId="77777777" w:rsidR="003E7C28" w:rsidRPr="0066355B" w:rsidRDefault="003E7C28" w:rsidP="003E7C28">
      <w:pPr>
        <w:pStyle w:val="ColorfulList-Accent11"/>
        <w:ind w:left="1080"/>
        <w:rPr>
          <w:b/>
          <w:sz w:val="28"/>
          <w:szCs w:val="28"/>
        </w:rPr>
      </w:pPr>
    </w:p>
    <w:p w14:paraId="79991662" w14:textId="77777777" w:rsidR="00A97314" w:rsidRDefault="00FD5C8E" w:rsidP="00537710">
      <w:pPr>
        <w:pStyle w:val="ColorfulList-Accent11"/>
        <w:ind w:left="1080"/>
        <w:rPr>
          <w:sz w:val="28"/>
          <w:szCs w:val="28"/>
        </w:rPr>
      </w:pPr>
      <w:proofErr w:type="gramStart"/>
      <w:r>
        <w:rPr>
          <w:sz w:val="28"/>
          <w:szCs w:val="28"/>
        </w:rPr>
        <w:t>In order to</w:t>
      </w:r>
      <w:proofErr w:type="gramEnd"/>
      <w:r>
        <w:rPr>
          <w:sz w:val="28"/>
          <w:szCs w:val="28"/>
        </w:rPr>
        <w:t xml:space="preserve"> facilitate the smooth running of the </w:t>
      </w:r>
      <w:r w:rsidR="0068276F">
        <w:rPr>
          <w:sz w:val="28"/>
          <w:szCs w:val="28"/>
        </w:rPr>
        <w:t>T</w:t>
      </w:r>
      <w:r>
        <w:rPr>
          <w:sz w:val="28"/>
          <w:szCs w:val="28"/>
        </w:rPr>
        <w:t xml:space="preserve">rust whilst maintaining effective financial transparency and control, the procedure to commit the </w:t>
      </w:r>
      <w:r w:rsidR="00BC0771">
        <w:rPr>
          <w:sz w:val="28"/>
          <w:szCs w:val="28"/>
        </w:rPr>
        <w:t>T</w:t>
      </w:r>
      <w:r>
        <w:rPr>
          <w:sz w:val="28"/>
          <w:szCs w:val="28"/>
        </w:rPr>
        <w:t>rust to a liability (which might be by making an immediate payment) will vary according to the size and nature of the transaction as described in the table below.</w:t>
      </w:r>
      <w:r w:rsidR="00291BBC">
        <w:rPr>
          <w:sz w:val="28"/>
          <w:szCs w:val="28"/>
        </w:rPr>
        <w:t xml:space="preserve"> </w:t>
      </w:r>
    </w:p>
    <w:p w14:paraId="00FCA45E" w14:textId="77777777" w:rsidR="00FD5C8E" w:rsidRDefault="00FD5C8E" w:rsidP="00537710">
      <w:pPr>
        <w:pStyle w:val="ColorfulList-Accent11"/>
        <w:ind w:left="1080"/>
        <w:rPr>
          <w:sz w:val="28"/>
          <w:szCs w:val="2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1669"/>
        <w:gridCol w:w="1634"/>
      </w:tblGrid>
      <w:tr w:rsidR="00AE1791" w14:paraId="4B2911AC" w14:textId="77777777" w:rsidTr="00AE1791">
        <w:tc>
          <w:tcPr>
            <w:tcW w:w="2699" w:type="dxa"/>
            <w:shd w:val="clear" w:color="auto" w:fill="auto"/>
          </w:tcPr>
          <w:p w14:paraId="773A59E0" w14:textId="77777777" w:rsidR="00AE1791" w:rsidRPr="00EA64C8" w:rsidRDefault="00AE1791" w:rsidP="00EA64C8">
            <w:pPr>
              <w:pStyle w:val="ColorfulList-Accent11"/>
              <w:ind w:left="0"/>
              <w:rPr>
                <w:sz w:val="28"/>
                <w:szCs w:val="28"/>
              </w:rPr>
            </w:pPr>
          </w:p>
        </w:tc>
        <w:tc>
          <w:tcPr>
            <w:tcW w:w="1669" w:type="dxa"/>
            <w:shd w:val="clear" w:color="auto" w:fill="auto"/>
          </w:tcPr>
          <w:p w14:paraId="1496DB44" w14:textId="77777777" w:rsidR="00AE1791" w:rsidRPr="00FD3311" w:rsidRDefault="00AE1791" w:rsidP="00EA64C8">
            <w:pPr>
              <w:pStyle w:val="ColorfulList-Accent11"/>
              <w:ind w:left="0"/>
              <w:rPr>
                <w:b/>
                <w:sz w:val="28"/>
                <w:szCs w:val="28"/>
              </w:rPr>
            </w:pPr>
            <w:r w:rsidRPr="00FD3311">
              <w:rPr>
                <w:b/>
                <w:sz w:val="28"/>
                <w:szCs w:val="28"/>
              </w:rPr>
              <w:t>Minor</w:t>
            </w:r>
          </w:p>
        </w:tc>
        <w:tc>
          <w:tcPr>
            <w:tcW w:w="1634" w:type="dxa"/>
            <w:shd w:val="clear" w:color="auto" w:fill="auto"/>
          </w:tcPr>
          <w:p w14:paraId="7A668C80" w14:textId="77777777" w:rsidR="00AE1791" w:rsidRPr="00FD3311" w:rsidRDefault="00AE1791" w:rsidP="00EA64C8">
            <w:pPr>
              <w:pStyle w:val="ColorfulList-Accent11"/>
              <w:ind w:left="0"/>
              <w:rPr>
                <w:b/>
                <w:sz w:val="28"/>
                <w:szCs w:val="28"/>
              </w:rPr>
            </w:pPr>
            <w:r w:rsidRPr="00FD3311">
              <w:rPr>
                <w:b/>
                <w:sz w:val="28"/>
                <w:szCs w:val="28"/>
              </w:rPr>
              <w:t>Major</w:t>
            </w:r>
          </w:p>
        </w:tc>
      </w:tr>
      <w:tr w:rsidR="00AE1791" w14:paraId="5F6D2828" w14:textId="77777777" w:rsidTr="00AE1791">
        <w:tc>
          <w:tcPr>
            <w:tcW w:w="2699" w:type="dxa"/>
            <w:shd w:val="clear" w:color="auto" w:fill="auto"/>
          </w:tcPr>
          <w:p w14:paraId="0197C10A" w14:textId="0302A6F9" w:rsidR="00AE1791" w:rsidRPr="00EA64C8" w:rsidRDefault="00AE1791" w:rsidP="00EA64C8">
            <w:pPr>
              <w:pStyle w:val="ColorfulList-Accent11"/>
              <w:ind w:left="0"/>
              <w:rPr>
                <w:sz w:val="28"/>
                <w:szCs w:val="28"/>
              </w:rPr>
            </w:pPr>
            <w:r w:rsidRPr="00EA64C8">
              <w:rPr>
                <w:sz w:val="28"/>
                <w:szCs w:val="28"/>
              </w:rPr>
              <w:t xml:space="preserve">Project building work </w:t>
            </w:r>
          </w:p>
        </w:tc>
        <w:tc>
          <w:tcPr>
            <w:tcW w:w="1669" w:type="dxa"/>
            <w:shd w:val="clear" w:color="auto" w:fill="auto"/>
          </w:tcPr>
          <w:p w14:paraId="35D55009" w14:textId="77777777" w:rsidR="00AE1791" w:rsidRDefault="00AE1791" w:rsidP="0068276F">
            <w:pPr>
              <w:pStyle w:val="ColorfulList-Accent11"/>
              <w:ind w:left="0"/>
              <w:rPr>
                <w:sz w:val="28"/>
                <w:szCs w:val="28"/>
              </w:rPr>
            </w:pPr>
            <w:r w:rsidRPr="00EA64C8">
              <w:rPr>
                <w:sz w:val="28"/>
                <w:szCs w:val="28"/>
              </w:rPr>
              <w:t xml:space="preserve">As defined in the project </w:t>
            </w:r>
            <w:proofErr w:type="gramStart"/>
            <w:r w:rsidRPr="00EA64C8">
              <w:rPr>
                <w:sz w:val="28"/>
                <w:szCs w:val="28"/>
              </w:rPr>
              <w:t xml:space="preserve">proposal </w:t>
            </w:r>
            <w:r w:rsidR="00026554">
              <w:rPr>
                <w:sz w:val="28"/>
                <w:szCs w:val="28"/>
              </w:rPr>
              <w:t xml:space="preserve"> and</w:t>
            </w:r>
            <w:proofErr w:type="gramEnd"/>
            <w:r w:rsidR="00026554">
              <w:rPr>
                <w:sz w:val="28"/>
                <w:szCs w:val="28"/>
              </w:rPr>
              <w:t xml:space="preserve"> </w:t>
            </w:r>
            <w:r w:rsidRPr="00EA64C8">
              <w:rPr>
                <w:sz w:val="28"/>
                <w:szCs w:val="28"/>
              </w:rPr>
              <w:t xml:space="preserve">agreed by a majority of </w:t>
            </w:r>
            <w:r>
              <w:rPr>
                <w:sz w:val="28"/>
                <w:szCs w:val="28"/>
              </w:rPr>
              <w:t>T</w:t>
            </w:r>
            <w:r w:rsidRPr="00EA64C8">
              <w:rPr>
                <w:sz w:val="28"/>
                <w:szCs w:val="28"/>
              </w:rPr>
              <w:t xml:space="preserve">rustees at a full </w:t>
            </w:r>
            <w:r>
              <w:rPr>
                <w:sz w:val="28"/>
                <w:szCs w:val="28"/>
              </w:rPr>
              <w:t>T</w:t>
            </w:r>
            <w:r w:rsidRPr="00EA64C8">
              <w:rPr>
                <w:sz w:val="28"/>
                <w:szCs w:val="28"/>
              </w:rPr>
              <w:t>rustee meeting.</w:t>
            </w:r>
          </w:p>
          <w:p w14:paraId="536C33F9" w14:textId="77777777" w:rsidR="00AE1791" w:rsidRPr="00EA64C8" w:rsidRDefault="00AE1791" w:rsidP="0068276F">
            <w:pPr>
              <w:pStyle w:val="ColorfulList-Accent11"/>
              <w:ind w:left="0"/>
              <w:rPr>
                <w:sz w:val="28"/>
                <w:szCs w:val="28"/>
              </w:rPr>
            </w:pPr>
          </w:p>
        </w:tc>
        <w:tc>
          <w:tcPr>
            <w:tcW w:w="1634" w:type="dxa"/>
            <w:shd w:val="clear" w:color="auto" w:fill="auto"/>
          </w:tcPr>
          <w:p w14:paraId="7912C06E" w14:textId="77777777" w:rsidR="00AE1791" w:rsidRDefault="00AE1791" w:rsidP="0068276F">
            <w:r w:rsidRPr="00EA64C8">
              <w:rPr>
                <w:sz w:val="28"/>
                <w:szCs w:val="28"/>
              </w:rPr>
              <w:t xml:space="preserve">As defined in the project </w:t>
            </w:r>
            <w:proofErr w:type="gramStart"/>
            <w:r w:rsidRPr="00EA64C8">
              <w:rPr>
                <w:sz w:val="28"/>
                <w:szCs w:val="28"/>
              </w:rPr>
              <w:t xml:space="preserve">proposal </w:t>
            </w:r>
            <w:r w:rsidR="00026554">
              <w:rPr>
                <w:sz w:val="28"/>
                <w:szCs w:val="28"/>
              </w:rPr>
              <w:t xml:space="preserve"> and</w:t>
            </w:r>
            <w:proofErr w:type="gramEnd"/>
            <w:r w:rsidR="00026554">
              <w:rPr>
                <w:sz w:val="28"/>
                <w:szCs w:val="28"/>
              </w:rPr>
              <w:t xml:space="preserve"> </w:t>
            </w:r>
            <w:r w:rsidRPr="00EA64C8">
              <w:rPr>
                <w:sz w:val="28"/>
                <w:szCs w:val="28"/>
              </w:rPr>
              <w:t xml:space="preserve">agreed by a majority of </w:t>
            </w:r>
            <w:r>
              <w:rPr>
                <w:sz w:val="28"/>
                <w:szCs w:val="28"/>
              </w:rPr>
              <w:t>T</w:t>
            </w:r>
            <w:r w:rsidRPr="00EA64C8">
              <w:rPr>
                <w:sz w:val="28"/>
                <w:szCs w:val="28"/>
              </w:rPr>
              <w:t xml:space="preserve">rustees at a full </w:t>
            </w:r>
            <w:r>
              <w:rPr>
                <w:sz w:val="28"/>
                <w:szCs w:val="28"/>
              </w:rPr>
              <w:t>T</w:t>
            </w:r>
            <w:r w:rsidRPr="00EA64C8">
              <w:rPr>
                <w:sz w:val="28"/>
                <w:szCs w:val="28"/>
              </w:rPr>
              <w:t>rustee meeting.</w:t>
            </w:r>
          </w:p>
        </w:tc>
      </w:tr>
      <w:tr w:rsidR="00AE1791" w14:paraId="23141B03" w14:textId="77777777" w:rsidTr="00AE1791">
        <w:tc>
          <w:tcPr>
            <w:tcW w:w="2699" w:type="dxa"/>
            <w:shd w:val="clear" w:color="auto" w:fill="auto"/>
          </w:tcPr>
          <w:p w14:paraId="20263F84" w14:textId="77777777" w:rsidR="00AE1791" w:rsidRPr="00EA64C8" w:rsidRDefault="00AE1791" w:rsidP="00EA64C8">
            <w:pPr>
              <w:pStyle w:val="ColorfulList-Accent11"/>
              <w:ind w:left="0"/>
              <w:rPr>
                <w:sz w:val="28"/>
                <w:szCs w:val="28"/>
              </w:rPr>
            </w:pPr>
            <w:r w:rsidRPr="00EA64C8">
              <w:rPr>
                <w:sz w:val="28"/>
                <w:szCs w:val="28"/>
              </w:rPr>
              <w:t>Maintenance building work within the annual budget</w:t>
            </w:r>
          </w:p>
        </w:tc>
        <w:tc>
          <w:tcPr>
            <w:tcW w:w="1669" w:type="dxa"/>
            <w:shd w:val="clear" w:color="auto" w:fill="auto"/>
          </w:tcPr>
          <w:p w14:paraId="765F671E" w14:textId="77777777" w:rsidR="00AE1791" w:rsidRPr="00EA64C8" w:rsidRDefault="00AE1791" w:rsidP="00EA64C8">
            <w:pPr>
              <w:pStyle w:val="ColorfulList-Accent11"/>
              <w:ind w:left="0"/>
              <w:rPr>
                <w:sz w:val="28"/>
                <w:szCs w:val="28"/>
              </w:rPr>
            </w:pPr>
            <w:r w:rsidRPr="00EA64C8">
              <w:rPr>
                <w:sz w:val="28"/>
                <w:szCs w:val="28"/>
              </w:rPr>
              <w:t>Less than £1,000</w:t>
            </w:r>
          </w:p>
        </w:tc>
        <w:tc>
          <w:tcPr>
            <w:tcW w:w="1634" w:type="dxa"/>
            <w:shd w:val="clear" w:color="auto" w:fill="auto"/>
          </w:tcPr>
          <w:p w14:paraId="4503E4A2" w14:textId="77777777" w:rsidR="00AE1791" w:rsidRDefault="00AE1791" w:rsidP="00EA64C8">
            <w:pPr>
              <w:pStyle w:val="ColorfulList-Accent11"/>
              <w:ind w:left="0"/>
              <w:rPr>
                <w:sz w:val="28"/>
                <w:szCs w:val="28"/>
              </w:rPr>
            </w:pPr>
            <w:r w:rsidRPr="00EA64C8">
              <w:rPr>
                <w:sz w:val="28"/>
                <w:szCs w:val="28"/>
              </w:rPr>
              <w:t xml:space="preserve">More than £1000 </w:t>
            </w:r>
          </w:p>
          <w:p w14:paraId="4166E2B5" w14:textId="77777777" w:rsidR="00AE1791" w:rsidRPr="00EA64C8" w:rsidRDefault="00AE1791" w:rsidP="00EA64C8">
            <w:pPr>
              <w:pStyle w:val="ColorfulList-Accent11"/>
              <w:ind w:left="0"/>
              <w:rPr>
                <w:sz w:val="28"/>
                <w:szCs w:val="28"/>
              </w:rPr>
            </w:pPr>
          </w:p>
        </w:tc>
      </w:tr>
      <w:tr w:rsidR="00AE1791" w14:paraId="66CDBF65" w14:textId="77777777" w:rsidTr="00AE1791">
        <w:tc>
          <w:tcPr>
            <w:tcW w:w="2699" w:type="dxa"/>
            <w:shd w:val="clear" w:color="auto" w:fill="auto"/>
          </w:tcPr>
          <w:p w14:paraId="555D1316" w14:textId="77777777" w:rsidR="00AE1791" w:rsidRPr="00EA64C8" w:rsidRDefault="00AE1791" w:rsidP="00EA64C8">
            <w:pPr>
              <w:pStyle w:val="ColorfulList-Accent11"/>
              <w:ind w:left="0"/>
              <w:rPr>
                <w:sz w:val="28"/>
                <w:szCs w:val="28"/>
              </w:rPr>
            </w:pPr>
            <w:r w:rsidRPr="00EA64C8">
              <w:rPr>
                <w:sz w:val="28"/>
                <w:szCs w:val="28"/>
              </w:rPr>
              <w:t>Maintenance building work outside the annual budget*</w:t>
            </w:r>
          </w:p>
        </w:tc>
        <w:tc>
          <w:tcPr>
            <w:tcW w:w="1669" w:type="dxa"/>
            <w:shd w:val="clear" w:color="auto" w:fill="auto"/>
          </w:tcPr>
          <w:p w14:paraId="6EB21A64" w14:textId="77777777" w:rsidR="00AE1791" w:rsidRPr="00EA64C8" w:rsidRDefault="00AE1791" w:rsidP="00EA64C8">
            <w:pPr>
              <w:pStyle w:val="ColorfulList-Accent11"/>
              <w:ind w:left="0"/>
              <w:rPr>
                <w:sz w:val="28"/>
                <w:szCs w:val="28"/>
              </w:rPr>
            </w:pPr>
            <w:r w:rsidRPr="00EA64C8">
              <w:rPr>
                <w:sz w:val="28"/>
                <w:szCs w:val="28"/>
              </w:rPr>
              <w:t>Less than £500</w:t>
            </w:r>
          </w:p>
        </w:tc>
        <w:tc>
          <w:tcPr>
            <w:tcW w:w="1634" w:type="dxa"/>
            <w:shd w:val="clear" w:color="auto" w:fill="auto"/>
          </w:tcPr>
          <w:p w14:paraId="41AB61A5" w14:textId="77777777" w:rsidR="00AE1791" w:rsidRPr="00EA64C8" w:rsidRDefault="00AE1791" w:rsidP="00AE1791">
            <w:pPr>
              <w:pStyle w:val="ColorfulList-Accent11"/>
              <w:ind w:left="0"/>
              <w:rPr>
                <w:sz w:val="28"/>
                <w:szCs w:val="28"/>
              </w:rPr>
            </w:pPr>
            <w:r w:rsidRPr="00EA64C8">
              <w:rPr>
                <w:sz w:val="28"/>
                <w:szCs w:val="28"/>
              </w:rPr>
              <w:t xml:space="preserve">More than £500 </w:t>
            </w:r>
          </w:p>
        </w:tc>
      </w:tr>
      <w:tr w:rsidR="00AE1791" w14:paraId="189BEC3F" w14:textId="77777777" w:rsidTr="00AE1791">
        <w:tc>
          <w:tcPr>
            <w:tcW w:w="2699" w:type="dxa"/>
            <w:shd w:val="clear" w:color="auto" w:fill="auto"/>
          </w:tcPr>
          <w:p w14:paraId="7E347854" w14:textId="77777777" w:rsidR="00AE1791" w:rsidRPr="00EA64C8" w:rsidRDefault="00AE1791" w:rsidP="00EA64C8">
            <w:pPr>
              <w:pStyle w:val="ColorfulList-Accent11"/>
              <w:ind w:left="0"/>
              <w:rPr>
                <w:sz w:val="28"/>
                <w:szCs w:val="28"/>
              </w:rPr>
            </w:pPr>
            <w:r w:rsidRPr="00EA64C8">
              <w:rPr>
                <w:sz w:val="28"/>
                <w:szCs w:val="28"/>
              </w:rPr>
              <w:t xml:space="preserve">Other purchases &amp; commitments </w:t>
            </w:r>
            <w:r w:rsidRPr="00EA64C8">
              <w:rPr>
                <w:sz w:val="28"/>
                <w:szCs w:val="28"/>
              </w:rPr>
              <w:lastRenderedPageBreak/>
              <w:t>within the annual budget</w:t>
            </w:r>
          </w:p>
        </w:tc>
        <w:tc>
          <w:tcPr>
            <w:tcW w:w="1669" w:type="dxa"/>
            <w:shd w:val="clear" w:color="auto" w:fill="auto"/>
          </w:tcPr>
          <w:p w14:paraId="3DF92B46" w14:textId="77777777" w:rsidR="00AE1791" w:rsidRPr="00EA64C8" w:rsidRDefault="00AE1791" w:rsidP="00EA64C8">
            <w:pPr>
              <w:pStyle w:val="ColorfulList-Accent11"/>
              <w:ind w:left="0"/>
              <w:rPr>
                <w:sz w:val="28"/>
                <w:szCs w:val="28"/>
              </w:rPr>
            </w:pPr>
            <w:r w:rsidRPr="00EA64C8">
              <w:rPr>
                <w:sz w:val="28"/>
                <w:szCs w:val="28"/>
              </w:rPr>
              <w:lastRenderedPageBreak/>
              <w:t>Less than £100</w:t>
            </w:r>
          </w:p>
        </w:tc>
        <w:tc>
          <w:tcPr>
            <w:tcW w:w="1634" w:type="dxa"/>
            <w:shd w:val="clear" w:color="auto" w:fill="auto"/>
          </w:tcPr>
          <w:p w14:paraId="1AFDE08B" w14:textId="77777777" w:rsidR="00AE1791" w:rsidRPr="00EA64C8" w:rsidRDefault="00AE1791" w:rsidP="00AE1791">
            <w:pPr>
              <w:pStyle w:val="ColorfulList-Accent11"/>
              <w:ind w:left="0"/>
              <w:rPr>
                <w:sz w:val="28"/>
                <w:szCs w:val="28"/>
              </w:rPr>
            </w:pPr>
            <w:r w:rsidRPr="00EA64C8">
              <w:rPr>
                <w:sz w:val="28"/>
                <w:szCs w:val="28"/>
              </w:rPr>
              <w:t xml:space="preserve">More than £100 </w:t>
            </w:r>
          </w:p>
        </w:tc>
      </w:tr>
      <w:tr w:rsidR="00AE1791" w14:paraId="270F7831" w14:textId="77777777" w:rsidTr="00AE1791">
        <w:tc>
          <w:tcPr>
            <w:tcW w:w="2699" w:type="dxa"/>
            <w:shd w:val="clear" w:color="auto" w:fill="auto"/>
          </w:tcPr>
          <w:p w14:paraId="30C2E5C2" w14:textId="77777777" w:rsidR="00AE1791" w:rsidRPr="00EA64C8" w:rsidRDefault="00AE1791" w:rsidP="00EA64C8">
            <w:pPr>
              <w:pStyle w:val="ColorfulList-Accent11"/>
              <w:ind w:left="0"/>
              <w:rPr>
                <w:sz w:val="28"/>
                <w:szCs w:val="28"/>
              </w:rPr>
            </w:pPr>
            <w:r w:rsidRPr="00EA64C8">
              <w:rPr>
                <w:sz w:val="28"/>
                <w:szCs w:val="28"/>
              </w:rPr>
              <w:t xml:space="preserve">Other purchases &amp; </w:t>
            </w:r>
            <w:proofErr w:type="gramStart"/>
            <w:r w:rsidRPr="00EA64C8">
              <w:rPr>
                <w:sz w:val="28"/>
                <w:szCs w:val="28"/>
              </w:rPr>
              <w:t>commitments  outside</w:t>
            </w:r>
            <w:proofErr w:type="gramEnd"/>
            <w:r w:rsidRPr="00EA64C8">
              <w:rPr>
                <w:sz w:val="28"/>
                <w:szCs w:val="28"/>
              </w:rPr>
              <w:t xml:space="preserve"> the annual budget</w:t>
            </w:r>
          </w:p>
        </w:tc>
        <w:tc>
          <w:tcPr>
            <w:tcW w:w="1669" w:type="dxa"/>
            <w:shd w:val="clear" w:color="auto" w:fill="auto"/>
          </w:tcPr>
          <w:p w14:paraId="3FF51825" w14:textId="77777777" w:rsidR="00AE1791" w:rsidRPr="00EA64C8" w:rsidRDefault="00AE1791" w:rsidP="00EA64C8">
            <w:pPr>
              <w:pStyle w:val="ColorfulList-Accent11"/>
              <w:ind w:left="0"/>
              <w:rPr>
                <w:sz w:val="28"/>
                <w:szCs w:val="28"/>
              </w:rPr>
            </w:pPr>
            <w:r w:rsidRPr="00EA64C8">
              <w:rPr>
                <w:sz w:val="28"/>
                <w:szCs w:val="28"/>
              </w:rPr>
              <w:t>None</w:t>
            </w:r>
          </w:p>
        </w:tc>
        <w:tc>
          <w:tcPr>
            <w:tcW w:w="1634" w:type="dxa"/>
            <w:shd w:val="clear" w:color="auto" w:fill="auto"/>
          </w:tcPr>
          <w:p w14:paraId="38AC2706" w14:textId="77777777" w:rsidR="00AE1791" w:rsidRDefault="00AE1791" w:rsidP="00EA64C8">
            <w:pPr>
              <w:pStyle w:val="ColorfulList-Accent11"/>
              <w:spacing w:line="360" w:lineRule="auto"/>
              <w:ind w:left="0"/>
              <w:rPr>
                <w:sz w:val="28"/>
                <w:szCs w:val="28"/>
              </w:rPr>
            </w:pPr>
            <w:r>
              <w:rPr>
                <w:sz w:val="28"/>
                <w:szCs w:val="28"/>
              </w:rPr>
              <w:t>All</w:t>
            </w:r>
          </w:p>
          <w:p w14:paraId="3F61D404" w14:textId="77777777" w:rsidR="00AE1791" w:rsidRPr="00EA64C8" w:rsidRDefault="00AE1791" w:rsidP="00EA64C8">
            <w:pPr>
              <w:pStyle w:val="ColorfulList-Accent11"/>
              <w:spacing w:line="360" w:lineRule="auto"/>
              <w:ind w:left="0"/>
              <w:rPr>
                <w:sz w:val="28"/>
                <w:szCs w:val="28"/>
              </w:rPr>
            </w:pPr>
          </w:p>
        </w:tc>
      </w:tr>
      <w:tr w:rsidR="00C847E9" w14:paraId="57FC7158" w14:textId="77777777" w:rsidTr="00AE1791">
        <w:tc>
          <w:tcPr>
            <w:tcW w:w="2699" w:type="dxa"/>
            <w:shd w:val="clear" w:color="auto" w:fill="auto"/>
          </w:tcPr>
          <w:p w14:paraId="11825AC8" w14:textId="7788B657" w:rsidR="00C847E9" w:rsidRPr="00EA64C8" w:rsidRDefault="00C847E9" w:rsidP="00EA64C8">
            <w:pPr>
              <w:pStyle w:val="ColorfulList-Accent11"/>
              <w:ind w:left="0"/>
              <w:rPr>
                <w:sz w:val="28"/>
                <w:szCs w:val="28"/>
              </w:rPr>
            </w:pPr>
            <w:proofErr w:type="gramStart"/>
            <w:r>
              <w:rPr>
                <w:sz w:val="28"/>
                <w:szCs w:val="28"/>
              </w:rPr>
              <w:t>Entering into</w:t>
            </w:r>
            <w:proofErr w:type="gramEnd"/>
            <w:r>
              <w:rPr>
                <w:sz w:val="28"/>
                <w:szCs w:val="28"/>
              </w:rPr>
              <w:t xml:space="preserve"> or terminating a contract with a third party</w:t>
            </w:r>
            <w:r w:rsidR="00046EA8">
              <w:rPr>
                <w:sz w:val="28"/>
                <w:szCs w:val="28"/>
              </w:rPr>
              <w:t xml:space="preserve"> or varying its terms</w:t>
            </w:r>
          </w:p>
        </w:tc>
        <w:tc>
          <w:tcPr>
            <w:tcW w:w="1669" w:type="dxa"/>
            <w:shd w:val="clear" w:color="auto" w:fill="auto"/>
          </w:tcPr>
          <w:p w14:paraId="50E154B1" w14:textId="72B632CE" w:rsidR="00C847E9" w:rsidRPr="00EA64C8" w:rsidRDefault="00B2393E" w:rsidP="00EA64C8">
            <w:pPr>
              <w:pStyle w:val="ColorfulList-Accent11"/>
              <w:ind w:left="0"/>
              <w:rPr>
                <w:sz w:val="28"/>
                <w:szCs w:val="28"/>
              </w:rPr>
            </w:pPr>
            <w:r>
              <w:rPr>
                <w:sz w:val="28"/>
                <w:szCs w:val="28"/>
              </w:rPr>
              <w:t>Contract value of less than £1000 in total or £1000 per annum</w:t>
            </w:r>
          </w:p>
        </w:tc>
        <w:tc>
          <w:tcPr>
            <w:tcW w:w="1634" w:type="dxa"/>
            <w:shd w:val="clear" w:color="auto" w:fill="auto"/>
          </w:tcPr>
          <w:p w14:paraId="6F7AE051" w14:textId="6803A6B2" w:rsidR="00C847E9" w:rsidRDefault="00B2393E" w:rsidP="00EA64C8">
            <w:pPr>
              <w:pStyle w:val="ColorfulList-Accent11"/>
              <w:spacing w:line="360" w:lineRule="auto"/>
              <w:ind w:left="0"/>
              <w:rPr>
                <w:sz w:val="28"/>
                <w:szCs w:val="28"/>
              </w:rPr>
            </w:pPr>
            <w:r>
              <w:rPr>
                <w:sz w:val="28"/>
                <w:szCs w:val="28"/>
              </w:rPr>
              <w:t>Otherwise</w:t>
            </w:r>
          </w:p>
        </w:tc>
      </w:tr>
      <w:tr w:rsidR="00C847E9" w14:paraId="638A358F" w14:textId="77777777" w:rsidTr="00AE1791">
        <w:tc>
          <w:tcPr>
            <w:tcW w:w="2699" w:type="dxa"/>
            <w:shd w:val="clear" w:color="auto" w:fill="auto"/>
          </w:tcPr>
          <w:p w14:paraId="26BA1B27" w14:textId="302E8644" w:rsidR="00C847E9" w:rsidRPr="00EA64C8" w:rsidRDefault="00C847E9" w:rsidP="00C847E9">
            <w:pPr>
              <w:pStyle w:val="ColorfulList-Accent11"/>
              <w:ind w:left="0"/>
              <w:rPr>
                <w:sz w:val="28"/>
                <w:szCs w:val="28"/>
              </w:rPr>
            </w:pPr>
            <w:r>
              <w:rPr>
                <w:sz w:val="28"/>
                <w:szCs w:val="28"/>
              </w:rPr>
              <w:t>Opening or closing a bank account</w:t>
            </w:r>
          </w:p>
        </w:tc>
        <w:tc>
          <w:tcPr>
            <w:tcW w:w="1669" w:type="dxa"/>
            <w:shd w:val="clear" w:color="auto" w:fill="auto"/>
          </w:tcPr>
          <w:p w14:paraId="4CB07338" w14:textId="7A83CAE2" w:rsidR="00C847E9" w:rsidRPr="00EA64C8" w:rsidRDefault="00C847E9" w:rsidP="00EA64C8">
            <w:pPr>
              <w:pStyle w:val="ColorfulList-Accent11"/>
              <w:ind w:left="0"/>
              <w:rPr>
                <w:sz w:val="28"/>
                <w:szCs w:val="28"/>
              </w:rPr>
            </w:pPr>
          </w:p>
        </w:tc>
        <w:tc>
          <w:tcPr>
            <w:tcW w:w="1634" w:type="dxa"/>
            <w:shd w:val="clear" w:color="auto" w:fill="auto"/>
          </w:tcPr>
          <w:p w14:paraId="28411332" w14:textId="63135316" w:rsidR="00C847E9" w:rsidRDefault="00B2393E" w:rsidP="00EA64C8">
            <w:pPr>
              <w:pStyle w:val="ColorfulList-Accent11"/>
              <w:spacing w:line="360" w:lineRule="auto"/>
              <w:ind w:left="0"/>
              <w:rPr>
                <w:sz w:val="28"/>
                <w:szCs w:val="28"/>
              </w:rPr>
            </w:pPr>
            <w:r>
              <w:rPr>
                <w:sz w:val="28"/>
                <w:szCs w:val="28"/>
              </w:rPr>
              <w:t>All</w:t>
            </w:r>
          </w:p>
        </w:tc>
      </w:tr>
    </w:tbl>
    <w:p w14:paraId="1782C85E" w14:textId="77777777" w:rsidR="00FD5C8E" w:rsidRDefault="00FD5C8E" w:rsidP="00537710">
      <w:pPr>
        <w:pStyle w:val="ColorfulList-Accent11"/>
        <w:ind w:left="1080"/>
        <w:rPr>
          <w:sz w:val="28"/>
          <w:szCs w:val="28"/>
        </w:rPr>
      </w:pPr>
    </w:p>
    <w:p w14:paraId="0F4D8C74" w14:textId="62B17707" w:rsidR="00026554" w:rsidRDefault="00026554" w:rsidP="00537710">
      <w:pPr>
        <w:pStyle w:val="ColorfulList-Accent11"/>
        <w:ind w:left="1080"/>
        <w:rPr>
          <w:sz w:val="28"/>
          <w:szCs w:val="28"/>
        </w:rPr>
      </w:pPr>
      <w:r>
        <w:rPr>
          <w:sz w:val="28"/>
          <w:szCs w:val="28"/>
        </w:rPr>
        <w:t>Where applicable, a written resolution signed by all/a simple majority of trustees may be used where this policy requires approval of a matter in a full trustee meeting</w:t>
      </w:r>
      <w:r w:rsidR="002416DA">
        <w:rPr>
          <w:sz w:val="28"/>
          <w:szCs w:val="28"/>
        </w:rPr>
        <w:t>.</w:t>
      </w:r>
    </w:p>
    <w:p w14:paraId="2D11EA80" w14:textId="77777777" w:rsidR="00026554" w:rsidRDefault="00026554" w:rsidP="00537710">
      <w:pPr>
        <w:pStyle w:val="ColorfulList-Accent11"/>
        <w:ind w:left="1080"/>
        <w:rPr>
          <w:sz w:val="28"/>
          <w:szCs w:val="28"/>
        </w:rPr>
      </w:pPr>
    </w:p>
    <w:p w14:paraId="235DF85C" w14:textId="52B60522" w:rsidR="004E5DD4" w:rsidRPr="002416DA" w:rsidRDefault="004E5DD4" w:rsidP="004E5DD4">
      <w:pPr>
        <w:pStyle w:val="ColorfulList-Accent11"/>
        <w:ind w:left="1080"/>
        <w:rPr>
          <w:i/>
          <w:sz w:val="28"/>
          <w:szCs w:val="28"/>
        </w:rPr>
      </w:pPr>
      <w:r w:rsidRPr="004E5DD4">
        <w:rPr>
          <w:sz w:val="28"/>
          <w:szCs w:val="28"/>
        </w:rPr>
        <w:t>*</w:t>
      </w:r>
      <w:r>
        <w:rPr>
          <w:sz w:val="28"/>
          <w:szCs w:val="28"/>
        </w:rPr>
        <w:t xml:space="preserve"> </w:t>
      </w:r>
      <w:r w:rsidRPr="002416DA">
        <w:rPr>
          <w:i/>
          <w:sz w:val="28"/>
          <w:szCs w:val="28"/>
        </w:rPr>
        <w:t xml:space="preserve">The buildings sub-committee may commit to an unbudgeted spend of up to £10,000 immediately if </w:t>
      </w:r>
      <w:r w:rsidRPr="002416DA">
        <w:rPr>
          <w:b/>
          <w:i/>
          <w:sz w:val="28"/>
          <w:szCs w:val="28"/>
        </w:rPr>
        <w:t xml:space="preserve">work is urgently required to prevent injury to beneficiaries </w:t>
      </w:r>
      <w:r w:rsidR="009F10EF" w:rsidRPr="002416DA">
        <w:rPr>
          <w:b/>
          <w:i/>
          <w:sz w:val="28"/>
          <w:szCs w:val="28"/>
        </w:rPr>
        <w:t>or third parties</w:t>
      </w:r>
      <w:r w:rsidR="009F10EF" w:rsidRPr="002416DA">
        <w:rPr>
          <w:i/>
          <w:sz w:val="28"/>
          <w:szCs w:val="28"/>
        </w:rPr>
        <w:t xml:space="preserve"> but this must be communicated to </w:t>
      </w:r>
      <w:r w:rsidR="00062A96" w:rsidRPr="002416DA">
        <w:rPr>
          <w:i/>
          <w:sz w:val="28"/>
          <w:szCs w:val="28"/>
        </w:rPr>
        <w:t>all Trustees</w:t>
      </w:r>
      <w:r w:rsidR="009F10EF" w:rsidRPr="002416DA">
        <w:rPr>
          <w:i/>
          <w:sz w:val="28"/>
          <w:szCs w:val="28"/>
        </w:rPr>
        <w:t xml:space="preserve"> </w:t>
      </w:r>
      <w:r w:rsidR="00505185" w:rsidRPr="002416DA">
        <w:rPr>
          <w:i/>
          <w:color w:val="000000" w:themeColor="text1"/>
          <w:sz w:val="28"/>
          <w:szCs w:val="28"/>
        </w:rPr>
        <w:t xml:space="preserve">and the Treasurer </w:t>
      </w:r>
      <w:r w:rsidR="009F10EF" w:rsidRPr="002416DA">
        <w:rPr>
          <w:i/>
          <w:sz w:val="28"/>
          <w:szCs w:val="28"/>
        </w:rPr>
        <w:t xml:space="preserve">within 24 hours and this would only apply to making the premises safe and secure. Any further work </w:t>
      </w:r>
      <w:proofErr w:type="gramStart"/>
      <w:r w:rsidR="00026554" w:rsidRPr="002416DA">
        <w:rPr>
          <w:i/>
          <w:sz w:val="28"/>
          <w:szCs w:val="28"/>
        </w:rPr>
        <w:t>must</w:t>
      </w:r>
      <w:r w:rsidR="009F10EF" w:rsidRPr="002416DA">
        <w:rPr>
          <w:i/>
          <w:sz w:val="28"/>
          <w:szCs w:val="28"/>
        </w:rPr>
        <w:t xml:space="preserve">  be</w:t>
      </w:r>
      <w:proofErr w:type="gramEnd"/>
      <w:r w:rsidR="009F10EF" w:rsidRPr="002416DA">
        <w:rPr>
          <w:i/>
          <w:sz w:val="28"/>
          <w:szCs w:val="28"/>
        </w:rPr>
        <w:t xml:space="preserve"> authorised through the standard procedures. The Chairman or in his absence (or if a member of the Buildings Committee) the </w:t>
      </w:r>
      <w:r w:rsidR="00FF0A56" w:rsidRPr="002416DA">
        <w:rPr>
          <w:i/>
          <w:sz w:val="28"/>
          <w:szCs w:val="28"/>
        </w:rPr>
        <w:t>D</w:t>
      </w:r>
      <w:r w:rsidR="009F10EF" w:rsidRPr="002416DA">
        <w:rPr>
          <w:i/>
          <w:sz w:val="28"/>
          <w:szCs w:val="28"/>
        </w:rPr>
        <w:t xml:space="preserve">eputy </w:t>
      </w:r>
      <w:r w:rsidR="00FF0A56" w:rsidRPr="002416DA">
        <w:rPr>
          <w:i/>
          <w:sz w:val="28"/>
          <w:szCs w:val="28"/>
        </w:rPr>
        <w:t>C</w:t>
      </w:r>
      <w:r w:rsidR="009F10EF" w:rsidRPr="002416DA">
        <w:rPr>
          <w:i/>
          <w:sz w:val="28"/>
          <w:szCs w:val="28"/>
        </w:rPr>
        <w:t xml:space="preserve">hairman or in his absence (or if a member of the Buildings Committee) the Treasurer or in his absence any other </w:t>
      </w:r>
      <w:r w:rsidR="00E312FE" w:rsidRPr="002416DA">
        <w:rPr>
          <w:i/>
          <w:sz w:val="28"/>
          <w:szCs w:val="28"/>
        </w:rPr>
        <w:t>T</w:t>
      </w:r>
      <w:r w:rsidR="009F10EF" w:rsidRPr="002416DA">
        <w:rPr>
          <w:i/>
          <w:sz w:val="28"/>
          <w:szCs w:val="28"/>
        </w:rPr>
        <w:t xml:space="preserve">rustee who is not a member of the Buildings Committee would have to agree </w:t>
      </w:r>
      <w:r w:rsidR="00F064A8" w:rsidRPr="002416DA">
        <w:rPr>
          <w:i/>
          <w:sz w:val="28"/>
          <w:szCs w:val="28"/>
        </w:rPr>
        <w:t xml:space="preserve">in writing </w:t>
      </w:r>
      <w:r w:rsidR="009F10EF" w:rsidRPr="002416DA">
        <w:rPr>
          <w:i/>
          <w:sz w:val="28"/>
          <w:szCs w:val="28"/>
        </w:rPr>
        <w:t xml:space="preserve">to an urgent spend exceeding this amount before this could be committed.  </w:t>
      </w:r>
    </w:p>
    <w:p w14:paraId="670D9C50" w14:textId="77777777" w:rsidR="004E5DD4" w:rsidRDefault="004E5DD4" w:rsidP="00537710">
      <w:pPr>
        <w:pStyle w:val="ColorfulList-Accent11"/>
        <w:ind w:left="1080"/>
        <w:rPr>
          <w:sz w:val="28"/>
          <w:szCs w:val="28"/>
        </w:rPr>
      </w:pPr>
    </w:p>
    <w:p w14:paraId="1D8AB2C0" w14:textId="72833364" w:rsidR="002416DA" w:rsidRDefault="002416DA" w:rsidP="002416DA">
      <w:pPr>
        <w:pStyle w:val="ColorfulList-Accent11"/>
        <w:ind w:left="1080"/>
        <w:rPr>
          <w:sz w:val="28"/>
          <w:szCs w:val="28"/>
        </w:rPr>
      </w:pPr>
      <w:r>
        <w:rPr>
          <w:sz w:val="28"/>
          <w:szCs w:val="28"/>
        </w:rPr>
        <w:t>Where an authorised cost limit will be exceeded by more than £150 the Treasurer and the Chairman must be informed immediately by email through the relevant subcommittee head, together with an estimate of the cost overrun.</w:t>
      </w:r>
    </w:p>
    <w:p w14:paraId="6CF834FB" w14:textId="77777777" w:rsidR="002416DA" w:rsidRDefault="002416DA" w:rsidP="002416DA">
      <w:pPr>
        <w:pStyle w:val="ColorfulList-Accent11"/>
        <w:ind w:left="1080"/>
        <w:rPr>
          <w:sz w:val="28"/>
          <w:szCs w:val="28"/>
        </w:rPr>
      </w:pPr>
    </w:p>
    <w:p w14:paraId="09157B18" w14:textId="77777777" w:rsidR="002416DA" w:rsidRDefault="002416DA" w:rsidP="002416DA">
      <w:pPr>
        <w:pStyle w:val="ColorfulList-Accent11"/>
        <w:ind w:left="1080"/>
        <w:rPr>
          <w:sz w:val="28"/>
          <w:szCs w:val="28"/>
        </w:rPr>
      </w:pPr>
      <w:r>
        <w:rPr>
          <w:sz w:val="28"/>
          <w:szCs w:val="28"/>
        </w:rPr>
        <w:t xml:space="preserve">All cost overruns are to be reported at the next subcommittee meeting and the Trust meeting, with a full explanation as to the reasons for such overrun.  No cost overrun will be sanctioned until </w:t>
      </w:r>
      <w:r>
        <w:rPr>
          <w:sz w:val="28"/>
          <w:szCs w:val="28"/>
        </w:rPr>
        <w:lastRenderedPageBreak/>
        <w:t>the original proposal duly amended is re-submitted for approval to the trustees by circulating email or actual meeting.</w:t>
      </w:r>
    </w:p>
    <w:p w14:paraId="51CA547D" w14:textId="77777777" w:rsidR="002416DA" w:rsidRDefault="002416DA" w:rsidP="00537710">
      <w:pPr>
        <w:pStyle w:val="ColorfulList-Accent11"/>
        <w:ind w:left="1080"/>
        <w:rPr>
          <w:b/>
          <w:sz w:val="28"/>
          <w:szCs w:val="28"/>
        </w:rPr>
      </w:pPr>
    </w:p>
    <w:p w14:paraId="69488106" w14:textId="77777777" w:rsidR="002416DA" w:rsidRDefault="002416DA" w:rsidP="00537710">
      <w:pPr>
        <w:pStyle w:val="ColorfulList-Accent11"/>
        <w:ind w:left="1080"/>
        <w:rPr>
          <w:b/>
          <w:sz w:val="28"/>
          <w:szCs w:val="28"/>
        </w:rPr>
      </w:pPr>
    </w:p>
    <w:p w14:paraId="1032A06D" w14:textId="3FD327BB" w:rsidR="00FD5C8E" w:rsidRDefault="00CE3F18" w:rsidP="00537710">
      <w:pPr>
        <w:pStyle w:val="ColorfulList-Accent11"/>
        <w:ind w:left="1080"/>
        <w:rPr>
          <w:sz w:val="28"/>
          <w:szCs w:val="28"/>
        </w:rPr>
      </w:pPr>
      <w:r w:rsidRPr="0018333F">
        <w:rPr>
          <w:b/>
          <w:sz w:val="28"/>
          <w:szCs w:val="28"/>
        </w:rPr>
        <w:t>The limits</w:t>
      </w:r>
      <w:r w:rsidR="00C847E9">
        <w:rPr>
          <w:b/>
          <w:sz w:val="28"/>
          <w:szCs w:val="28"/>
        </w:rPr>
        <w:t xml:space="preserve"> of </w:t>
      </w:r>
      <w:proofErr w:type="gramStart"/>
      <w:r w:rsidR="00C847E9">
        <w:rPr>
          <w:b/>
          <w:sz w:val="28"/>
          <w:szCs w:val="28"/>
        </w:rPr>
        <w:t xml:space="preserve">authorisation </w:t>
      </w:r>
      <w:r w:rsidRPr="0018333F">
        <w:rPr>
          <w:b/>
          <w:sz w:val="28"/>
          <w:szCs w:val="28"/>
        </w:rPr>
        <w:t xml:space="preserve"> in</w:t>
      </w:r>
      <w:proofErr w:type="gramEnd"/>
      <w:r w:rsidRPr="0018333F">
        <w:rPr>
          <w:b/>
          <w:sz w:val="28"/>
          <w:szCs w:val="28"/>
        </w:rPr>
        <w:t xml:space="preserve"> th</w:t>
      </w:r>
      <w:r w:rsidR="002416DA">
        <w:rPr>
          <w:b/>
          <w:sz w:val="28"/>
          <w:szCs w:val="28"/>
        </w:rPr>
        <w:t>e</w:t>
      </w:r>
      <w:r w:rsidRPr="0018333F">
        <w:rPr>
          <w:b/>
          <w:sz w:val="28"/>
          <w:szCs w:val="28"/>
        </w:rPr>
        <w:t xml:space="preserve"> table </w:t>
      </w:r>
      <w:r w:rsidR="002416DA">
        <w:rPr>
          <w:b/>
          <w:sz w:val="28"/>
          <w:szCs w:val="28"/>
        </w:rPr>
        <w:t xml:space="preserve">above </w:t>
      </w:r>
      <w:r w:rsidRPr="0018333F">
        <w:rPr>
          <w:b/>
          <w:sz w:val="28"/>
          <w:szCs w:val="28"/>
        </w:rPr>
        <w:t xml:space="preserve">can only be amended by a resolution passed at a properly convened </w:t>
      </w:r>
      <w:r w:rsidR="00E312FE">
        <w:rPr>
          <w:b/>
          <w:sz w:val="28"/>
          <w:szCs w:val="28"/>
        </w:rPr>
        <w:t>T</w:t>
      </w:r>
      <w:r w:rsidRPr="0018333F">
        <w:rPr>
          <w:b/>
          <w:sz w:val="28"/>
          <w:szCs w:val="28"/>
        </w:rPr>
        <w:t xml:space="preserve">rustees meeting with no more than two </w:t>
      </w:r>
      <w:r w:rsidR="0035281F">
        <w:rPr>
          <w:b/>
          <w:sz w:val="28"/>
          <w:szCs w:val="28"/>
        </w:rPr>
        <w:t>T</w:t>
      </w:r>
      <w:r w:rsidRPr="0018333F">
        <w:rPr>
          <w:b/>
          <w:sz w:val="28"/>
          <w:szCs w:val="28"/>
        </w:rPr>
        <w:t>rustees dissenting</w:t>
      </w:r>
      <w:r w:rsidR="00AD6A09">
        <w:rPr>
          <w:sz w:val="28"/>
          <w:szCs w:val="28"/>
        </w:rPr>
        <w:t xml:space="preserve">. No commitments can be made by any </w:t>
      </w:r>
      <w:r w:rsidR="0035281F">
        <w:rPr>
          <w:sz w:val="28"/>
          <w:szCs w:val="28"/>
        </w:rPr>
        <w:t>T</w:t>
      </w:r>
      <w:r w:rsidR="00AD6A09">
        <w:rPr>
          <w:sz w:val="28"/>
          <w:szCs w:val="28"/>
        </w:rPr>
        <w:t>rustee in respect of a pro</w:t>
      </w:r>
      <w:r w:rsidR="00EF783E">
        <w:rPr>
          <w:sz w:val="28"/>
          <w:szCs w:val="28"/>
        </w:rPr>
        <w:t xml:space="preserve">ject until the project proposal, which will include definitions of </w:t>
      </w:r>
      <w:r w:rsidRPr="0018333F">
        <w:rPr>
          <w:b/>
          <w:sz w:val="28"/>
          <w:szCs w:val="28"/>
        </w:rPr>
        <w:t>minor</w:t>
      </w:r>
      <w:r w:rsidR="002416DA">
        <w:rPr>
          <w:b/>
          <w:sz w:val="28"/>
          <w:szCs w:val="28"/>
        </w:rPr>
        <w:t xml:space="preserve"> and</w:t>
      </w:r>
      <w:r w:rsidRPr="0018333F">
        <w:rPr>
          <w:b/>
          <w:sz w:val="28"/>
          <w:szCs w:val="28"/>
        </w:rPr>
        <w:t xml:space="preserve"> major </w:t>
      </w:r>
      <w:r w:rsidR="00EF783E">
        <w:rPr>
          <w:sz w:val="28"/>
          <w:szCs w:val="28"/>
        </w:rPr>
        <w:t xml:space="preserve">commitments for that project, </w:t>
      </w:r>
      <w:r w:rsidR="0052652E">
        <w:rPr>
          <w:sz w:val="28"/>
          <w:szCs w:val="28"/>
        </w:rPr>
        <w:t xml:space="preserve">has been agreed at a </w:t>
      </w:r>
      <w:r w:rsidR="00AD6A09">
        <w:rPr>
          <w:sz w:val="28"/>
          <w:szCs w:val="28"/>
        </w:rPr>
        <w:t xml:space="preserve">properly convened </w:t>
      </w:r>
      <w:r w:rsidR="0035281F">
        <w:rPr>
          <w:sz w:val="28"/>
          <w:szCs w:val="28"/>
        </w:rPr>
        <w:t>T</w:t>
      </w:r>
      <w:r w:rsidR="00AD6A09">
        <w:rPr>
          <w:sz w:val="28"/>
          <w:szCs w:val="28"/>
        </w:rPr>
        <w:t>rustees meeting passed</w:t>
      </w:r>
      <w:r w:rsidR="00EF783E">
        <w:rPr>
          <w:sz w:val="28"/>
          <w:szCs w:val="28"/>
        </w:rPr>
        <w:t xml:space="preserve"> with no more than two </w:t>
      </w:r>
      <w:r w:rsidR="0035281F">
        <w:rPr>
          <w:sz w:val="28"/>
          <w:szCs w:val="28"/>
        </w:rPr>
        <w:t>T</w:t>
      </w:r>
      <w:r w:rsidR="00EF783E">
        <w:rPr>
          <w:sz w:val="28"/>
          <w:szCs w:val="28"/>
        </w:rPr>
        <w:t>rustees dissenting.</w:t>
      </w:r>
    </w:p>
    <w:p w14:paraId="014136A4" w14:textId="77777777" w:rsidR="00A97314" w:rsidRDefault="00A97314" w:rsidP="00537710">
      <w:pPr>
        <w:pStyle w:val="ColorfulList-Accent11"/>
        <w:ind w:left="1080"/>
        <w:rPr>
          <w:sz w:val="28"/>
          <w:szCs w:val="28"/>
        </w:rPr>
      </w:pPr>
    </w:p>
    <w:p w14:paraId="3DD9D82B" w14:textId="2BEFD447" w:rsidR="00A97314" w:rsidRPr="0070783D" w:rsidRDefault="00A97314" w:rsidP="00A97314">
      <w:pPr>
        <w:pStyle w:val="ColorfulList-Accent11"/>
        <w:ind w:left="1080"/>
        <w:rPr>
          <w:color w:val="000000" w:themeColor="text1"/>
          <w:sz w:val="28"/>
          <w:szCs w:val="28"/>
        </w:rPr>
      </w:pPr>
      <w:r>
        <w:rPr>
          <w:sz w:val="28"/>
          <w:szCs w:val="28"/>
        </w:rPr>
        <w:t xml:space="preserve">To expedite decision making, provision is made for the </w:t>
      </w:r>
      <w:r w:rsidR="0035281F">
        <w:rPr>
          <w:sz w:val="28"/>
          <w:szCs w:val="28"/>
        </w:rPr>
        <w:t>T</w:t>
      </w:r>
      <w:r>
        <w:rPr>
          <w:sz w:val="28"/>
          <w:szCs w:val="28"/>
        </w:rPr>
        <w:t xml:space="preserve">rustees to approve </w:t>
      </w:r>
      <w:r w:rsidR="00F064A8">
        <w:rPr>
          <w:sz w:val="28"/>
          <w:szCs w:val="28"/>
        </w:rPr>
        <w:t xml:space="preserve">certain </w:t>
      </w:r>
      <w:r>
        <w:rPr>
          <w:sz w:val="28"/>
          <w:szCs w:val="28"/>
        </w:rPr>
        <w:t>decisions by</w:t>
      </w:r>
      <w:r w:rsidR="00026554">
        <w:rPr>
          <w:sz w:val="28"/>
          <w:szCs w:val="28"/>
        </w:rPr>
        <w:t xml:space="preserve"> </w:t>
      </w:r>
      <w:r>
        <w:rPr>
          <w:sz w:val="28"/>
          <w:szCs w:val="28"/>
        </w:rPr>
        <w:t xml:space="preserve">email. For these purposes, a decision is deemed to be approved by email if, after seven days of the proposed decision being circulated to all </w:t>
      </w:r>
      <w:r w:rsidR="0035281F">
        <w:rPr>
          <w:sz w:val="28"/>
          <w:szCs w:val="28"/>
        </w:rPr>
        <w:t>T</w:t>
      </w:r>
      <w:r>
        <w:rPr>
          <w:sz w:val="28"/>
          <w:szCs w:val="28"/>
        </w:rPr>
        <w:t xml:space="preserve">rustees, a simple majority of the number of </w:t>
      </w:r>
      <w:r w:rsidR="0035281F">
        <w:rPr>
          <w:sz w:val="28"/>
          <w:szCs w:val="28"/>
        </w:rPr>
        <w:t>T</w:t>
      </w:r>
      <w:r>
        <w:rPr>
          <w:sz w:val="28"/>
          <w:szCs w:val="28"/>
        </w:rPr>
        <w:t xml:space="preserve">rustees (not just the </w:t>
      </w:r>
      <w:r w:rsidR="0035281F">
        <w:rPr>
          <w:sz w:val="28"/>
          <w:szCs w:val="28"/>
        </w:rPr>
        <w:t>T</w:t>
      </w:r>
      <w:r>
        <w:rPr>
          <w:sz w:val="28"/>
          <w:szCs w:val="28"/>
        </w:rPr>
        <w:t xml:space="preserve">rustees replying) send an email (copied to all </w:t>
      </w:r>
      <w:r w:rsidR="0035281F">
        <w:rPr>
          <w:sz w:val="28"/>
          <w:szCs w:val="28"/>
        </w:rPr>
        <w:t>T</w:t>
      </w:r>
      <w:r>
        <w:rPr>
          <w:sz w:val="28"/>
          <w:szCs w:val="28"/>
        </w:rPr>
        <w:t xml:space="preserve">rustees and the Treasurer) giving their approval. </w:t>
      </w:r>
      <w:r w:rsidR="003E7C28" w:rsidRPr="0070783D">
        <w:rPr>
          <w:color w:val="000000" w:themeColor="text1"/>
          <w:sz w:val="28"/>
          <w:szCs w:val="28"/>
        </w:rPr>
        <w:t xml:space="preserve">A decision regarding financial commitment can only be made by the Trustees if it is accompanied by an estimate of the likely cost. The Treasurer must be advised as soon as possible if </w:t>
      </w:r>
      <w:r w:rsidR="00092083" w:rsidRPr="0070783D">
        <w:rPr>
          <w:color w:val="000000" w:themeColor="text1"/>
          <w:sz w:val="28"/>
          <w:szCs w:val="28"/>
        </w:rPr>
        <w:t>the estimated likely cost deviates from the initial estimate.</w:t>
      </w:r>
    </w:p>
    <w:p w14:paraId="6946B200" w14:textId="77777777" w:rsidR="00A97314" w:rsidRDefault="00A97314" w:rsidP="00537710">
      <w:pPr>
        <w:pStyle w:val="ColorfulList-Accent11"/>
        <w:ind w:left="1080"/>
        <w:rPr>
          <w:sz w:val="28"/>
          <w:szCs w:val="2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0"/>
      </w:tblGrid>
      <w:tr w:rsidR="00856B91" w:rsidRPr="00EA64C8" w14:paraId="035D8E37" w14:textId="77777777" w:rsidTr="00AE1791">
        <w:tc>
          <w:tcPr>
            <w:tcW w:w="7930" w:type="dxa"/>
            <w:shd w:val="clear" w:color="auto" w:fill="auto"/>
          </w:tcPr>
          <w:p w14:paraId="5827A123" w14:textId="20297E5E" w:rsidR="00856B91" w:rsidRPr="00AE1791" w:rsidRDefault="00856B91" w:rsidP="0035281F">
            <w:pPr>
              <w:pStyle w:val="ColorfulList-Accent11"/>
              <w:ind w:left="0"/>
              <w:rPr>
                <w:sz w:val="28"/>
                <w:szCs w:val="28"/>
              </w:rPr>
            </w:pPr>
            <w:r w:rsidRPr="00AE1791">
              <w:rPr>
                <w:b/>
                <w:sz w:val="28"/>
                <w:szCs w:val="28"/>
              </w:rPr>
              <w:t>Minor commitments</w:t>
            </w:r>
            <w:r w:rsidRPr="00AE1791">
              <w:rPr>
                <w:sz w:val="28"/>
                <w:szCs w:val="28"/>
              </w:rPr>
              <w:t xml:space="preserve"> can be authorised by a single </w:t>
            </w:r>
            <w:r w:rsidR="0035281F" w:rsidRPr="00AE1791">
              <w:rPr>
                <w:sz w:val="28"/>
                <w:szCs w:val="28"/>
              </w:rPr>
              <w:t>T</w:t>
            </w:r>
            <w:r w:rsidRPr="00AE1791">
              <w:rPr>
                <w:sz w:val="28"/>
                <w:szCs w:val="28"/>
              </w:rPr>
              <w:t>rustee</w:t>
            </w:r>
            <w:r w:rsidR="00F0365F">
              <w:rPr>
                <w:sz w:val="28"/>
                <w:szCs w:val="28"/>
              </w:rPr>
              <w:t xml:space="preserve"> although they should inform all members of their sub-committee and the Treasurer immediately thereafter</w:t>
            </w:r>
            <w:r w:rsidRPr="00AE1791">
              <w:rPr>
                <w:sz w:val="28"/>
                <w:szCs w:val="28"/>
              </w:rPr>
              <w:t>. The Treasurer will report on all new minor unbudgeted commitments made at each meeting of the Finance and Admin sub-committee.</w:t>
            </w:r>
          </w:p>
        </w:tc>
      </w:tr>
      <w:tr w:rsidR="00856B91" w:rsidRPr="00EA64C8" w14:paraId="35B64615" w14:textId="77777777" w:rsidTr="00AE1791">
        <w:tc>
          <w:tcPr>
            <w:tcW w:w="7930" w:type="dxa"/>
            <w:shd w:val="clear" w:color="auto" w:fill="auto"/>
          </w:tcPr>
          <w:p w14:paraId="372586EF" w14:textId="77777777" w:rsidR="00856B91" w:rsidRPr="00AE1791" w:rsidRDefault="00856B91" w:rsidP="00EA64C8">
            <w:pPr>
              <w:pStyle w:val="ColorfulList-Accent11"/>
              <w:ind w:left="0"/>
              <w:rPr>
                <w:sz w:val="28"/>
                <w:szCs w:val="28"/>
              </w:rPr>
            </w:pPr>
          </w:p>
        </w:tc>
      </w:tr>
      <w:tr w:rsidR="00856B91" w:rsidRPr="00EA64C8" w14:paraId="46151777" w14:textId="77777777" w:rsidTr="00AE1791">
        <w:tc>
          <w:tcPr>
            <w:tcW w:w="7930" w:type="dxa"/>
            <w:shd w:val="clear" w:color="auto" w:fill="auto"/>
          </w:tcPr>
          <w:p w14:paraId="2CAB6381" w14:textId="2272C9A4" w:rsidR="00856B91" w:rsidRPr="00AE1791" w:rsidRDefault="00856B91" w:rsidP="0035281F">
            <w:pPr>
              <w:pStyle w:val="ColorfulList-Accent11"/>
              <w:ind w:left="0"/>
              <w:rPr>
                <w:sz w:val="28"/>
                <w:szCs w:val="28"/>
              </w:rPr>
            </w:pPr>
            <w:r w:rsidRPr="00AE1791">
              <w:rPr>
                <w:b/>
                <w:sz w:val="28"/>
                <w:szCs w:val="28"/>
              </w:rPr>
              <w:t>Major commitments</w:t>
            </w:r>
            <w:r w:rsidRPr="00AE1791">
              <w:rPr>
                <w:sz w:val="28"/>
                <w:szCs w:val="28"/>
              </w:rPr>
              <w:t xml:space="preserve"> can only be authorised by either a resolution passed at a properly convened sub-committee meeting or by </w:t>
            </w:r>
            <w:r w:rsidR="00026554">
              <w:rPr>
                <w:sz w:val="28"/>
                <w:szCs w:val="28"/>
              </w:rPr>
              <w:t xml:space="preserve">a written </w:t>
            </w:r>
            <w:proofErr w:type="gramStart"/>
            <w:r w:rsidR="00026554">
              <w:rPr>
                <w:sz w:val="28"/>
                <w:szCs w:val="28"/>
              </w:rPr>
              <w:t xml:space="preserve">resolution </w:t>
            </w:r>
            <w:r w:rsidRPr="00AE1791">
              <w:rPr>
                <w:sz w:val="28"/>
                <w:szCs w:val="28"/>
              </w:rPr>
              <w:t xml:space="preserve"> of</w:t>
            </w:r>
            <w:proofErr w:type="gramEnd"/>
            <w:r w:rsidRPr="00AE1791">
              <w:rPr>
                <w:sz w:val="28"/>
                <w:szCs w:val="28"/>
              </w:rPr>
              <w:t xml:space="preserve"> the </w:t>
            </w:r>
            <w:r w:rsidR="0035281F" w:rsidRPr="00AE1791">
              <w:rPr>
                <w:sz w:val="28"/>
                <w:szCs w:val="28"/>
              </w:rPr>
              <w:t>T</w:t>
            </w:r>
            <w:r w:rsidRPr="00AE1791">
              <w:rPr>
                <w:sz w:val="28"/>
                <w:szCs w:val="28"/>
              </w:rPr>
              <w:t xml:space="preserve">rustees. The Treasurer </w:t>
            </w:r>
            <w:r w:rsidR="002416DA">
              <w:rPr>
                <w:sz w:val="28"/>
                <w:szCs w:val="28"/>
              </w:rPr>
              <w:t xml:space="preserve">and Head of the relevant Sub-Committee </w:t>
            </w:r>
            <w:r w:rsidRPr="00AE1791">
              <w:rPr>
                <w:sz w:val="28"/>
                <w:szCs w:val="28"/>
              </w:rPr>
              <w:t>will report on all new major unbudgeted commitments made at each meeting of the Finance and Admin sub-committee.</w:t>
            </w:r>
          </w:p>
        </w:tc>
      </w:tr>
      <w:tr w:rsidR="00856B91" w:rsidRPr="00EA64C8" w14:paraId="464E73FA" w14:textId="77777777" w:rsidTr="00AE1791">
        <w:tc>
          <w:tcPr>
            <w:tcW w:w="7930" w:type="dxa"/>
            <w:shd w:val="clear" w:color="auto" w:fill="auto"/>
          </w:tcPr>
          <w:p w14:paraId="323214A3" w14:textId="77777777" w:rsidR="00856B91" w:rsidRPr="00EA64C8" w:rsidRDefault="00856B91" w:rsidP="00EA64C8">
            <w:pPr>
              <w:pStyle w:val="ColorfulList-Accent11"/>
              <w:ind w:left="0"/>
              <w:rPr>
                <w:sz w:val="28"/>
                <w:szCs w:val="28"/>
              </w:rPr>
            </w:pPr>
          </w:p>
        </w:tc>
      </w:tr>
    </w:tbl>
    <w:p w14:paraId="4AC41197" w14:textId="77777777" w:rsidR="00FD5C8E" w:rsidRDefault="00FD5C8E" w:rsidP="00537710">
      <w:pPr>
        <w:pStyle w:val="ColorfulList-Accent11"/>
        <w:ind w:left="1080"/>
        <w:rPr>
          <w:sz w:val="28"/>
          <w:szCs w:val="28"/>
        </w:rPr>
      </w:pPr>
    </w:p>
    <w:p w14:paraId="5EE3AA8A" w14:textId="241E3AC8" w:rsidR="00F064A8" w:rsidRDefault="00F064A8" w:rsidP="00F064A8">
      <w:pPr>
        <w:pStyle w:val="ColorfulList-Accent11"/>
        <w:ind w:left="1080"/>
        <w:rPr>
          <w:sz w:val="28"/>
          <w:szCs w:val="28"/>
        </w:rPr>
      </w:pPr>
      <w:r>
        <w:rPr>
          <w:sz w:val="28"/>
          <w:szCs w:val="28"/>
        </w:rPr>
        <w:t xml:space="preserve">Any commitment </w:t>
      </w:r>
      <w:r w:rsidR="00AE1791">
        <w:rPr>
          <w:sz w:val="28"/>
          <w:szCs w:val="28"/>
        </w:rPr>
        <w:t xml:space="preserve">likely to </w:t>
      </w:r>
      <w:r>
        <w:rPr>
          <w:sz w:val="28"/>
          <w:szCs w:val="28"/>
        </w:rPr>
        <w:t>exceed £</w:t>
      </w:r>
      <w:r w:rsidR="002416DA">
        <w:rPr>
          <w:sz w:val="28"/>
          <w:szCs w:val="28"/>
        </w:rPr>
        <w:t>3</w:t>
      </w:r>
      <w:r>
        <w:rPr>
          <w:sz w:val="28"/>
          <w:szCs w:val="28"/>
        </w:rPr>
        <w:t xml:space="preserve">,000 </w:t>
      </w:r>
      <w:r w:rsidR="00026554">
        <w:rPr>
          <w:sz w:val="28"/>
          <w:szCs w:val="28"/>
        </w:rPr>
        <w:t>must</w:t>
      </w:r>
      <w:r w:rsidR="00AE1791">
        <w:rPr>
          <w:sz w:val="28"/>
          <w:szCs w:val="28"/>
        </w:rPr>
        <w:t xml:space="preserve"> first be agreed in principle by the Trustees (the Treasurer being advised) before </w:t>
      </w:r>
      <w:r w:rsidR="00AE1791">
        <w:rPr>
          <w:sz w:val="28"/>
          <w:szCs w:val="28"/>
        </w:rPr>
        <w:lastRenderedPageBreak/>
        <w:t xml:space="preserve">being confirmed by the Trustees once </w:t>
      </w:r>
      <w:r>
        <w:rPr>
          <w:sz w:val="28"/>
          <w:szCs w:val="28"/>
        </w:rPr>
        <w:t xml:space="preserve">three independent quotations </w:t>
      </w:r>
      <w:r w:rsidR="00AE1791">
        <w:rPr>
          <w:sz w:val="28"/>
          <w:szCs w:val="28"/>
        </w:rPr>
        <w:t xml:space="preserve">have been obtained together with </w:t>
      </w:r>
      <w:r>
        <w:rPr>
          <w:sz w:val="28"/>
          <w:szCs w:val="28"/>
        </w:rPr>
        <w:t>a recommendation of which supplier to use</w:t>
      </w:r>
      <w:r w:rsidR="00AE1791">
        <w:rPr>
          <w:sz w:val="28"/>
          <w:szCs w:val="28"/>
        </w:rPr>
        <w:t>. The need for three quotations can be overridden if it has</w:t>
      </w:r>
      <w:r>
        <w:rPr>
          <w:sz w:val="28"/>
          <w:szCs w:val="28"/>
        </w:rPr>
        <w:t xml:space="preserve"> been agreed at an earlier Trustee meeting that a specific contractor can be employed for all work of a specific nature for an entire financial year. Such an agreement must be re-endorsed annually. If three independent quotations cannot be obtained, then the commitment will require approval by a simple majority of </w:t>
      </w:r>
      <w:r w:rsidR="0035281F">
        <w:rPr>
          <w:sz w:val="28"/>
          <w:szCs w:val="28"/>
        </w:rPr>
        <w:t>T</w:t>
      </w:r>
      <w:r>
        <w:rPr>
          <w:sz w:val="28"/>
          <w:szCs w:val="28"/>
        </w:rPr>
        <w:t xml:space="preserve">rustees at the next full </w:t>
      </w:r>
      <w:r w:rsidR="0035281F">
        <w:rPr>
          <w:sz w:val="28"/>
          <w:szCs w:val="28"/>
        </w:rPr>
        <w:t>T</w:t>
      </w:r>
      <w:r>
        <w:rPr>
          <w:sz w:val="28"/>
          <w:szCs w:val="28"/>
        </w:rPr>
        <w:t>rustee meeting</w:t>
      </w:r>
      <w:r w:rsidR="002416DA">
        <w:rPr>
          <w:sz w:val="28"/>
          <w:szCs w:val="28"/>
        </w:rPr>
        <w:t xml:space="preserve"> or by a circulation resolution which gives reasons for the lack of quotations.</w:t>
      </w:r>
    </w:p>
    <w:p w14:paraId="5F12646C" w14:textId="77777777" w:rsidR="00F064A8" w:rsidRDefault="00F064A8" w:rsidP="00537710">
      <w:pPr>
        <w:pStyle w:val="ColorfulList-Accent11"/>
        <w:ind w:left="1080"/>
        <w:rPr>
          <w:sz w:val="28"/>
          <w:szCs w:val="28"/>
        </w:rPr>
      </w:pPr>
    </w:p>
    <w:p w14:paraId="5FA3597A" w14:textId="77777777" w:rsidR="00F064A8" w:rsidRDefault="00F064A8" w:rsidP="00537710">
      <w:pPr>
        <w:pStyle w:val="ColorfulList-Accent11"/>
        <w:ind w:left="1080"/>
        <w:rPr>
          <w:sz w:val="28"/>
          <w:szCs w:val="28"/>
        </w:rPr>
      </w:pPr>
    </w:p>
    <w:p w14:paraId="18AC79C9" w14:textId="77777777" w:rsidR="00451BDB" w:rsidRPr="0066355B" w:rsidRDefault="00451BDB" w:rsidP="00A57E85">
      <w:pPr>
        <w:pStyle w:val="ColorfulList-Accent11"/>
        <w:numPr>
          <w:ilvl w:val="0"/>
          <w:numId w:val="1"/>
        </w:numPr>
        <w:ind w:left="709" w:hanging="283"/>
        <w:rPr>
          <w:b/>
          <w:sz w:val="28"/>
          <w:szCs w:val="28"/>
        </w:rPr>
      </w:pPr>
      <w:r w:rsidRPr="0066355B">
        <w:rPr>
          <w:b/>
          <w:sz w:val="28"/>
          <w:szCs w:val="28"/>
        </w:rPr>
        <w:t xml:space="preserve">Other </w:t>
      </w:r>
      <w:r w:rsidR="004E5DD4" w:rsidRPr="0066355B">
        <w:rPr>
          <w:b/>
          <w:sz w:val="28"/>
          <w:szCs w:val="28"/>
        </w:rPr>
        <w:t>c</w:t>
      </w:r>
      <w:r w:rsidRPr="0066355B">
        <w:rPr>
          <w:b/>
          <w:sz w:val="28"/>
          <w:szCs w:val="28"/>
        </w:rPr>
        <w:t xml:space="preserve">ommitments having a </w:t>
      </w:r>
      <w:r w:rsidR="004E5DD4" w:rsidRPr="0066355B">
        <w:rPr>
          <w:b/>
          <w:sz w:val="28"/>
          <w:szCs w:val="28"/>
        </w:rPr>
        <w:t>potential f</w:t>
      </w:r>
      <w:r w:rsidRPr="0066355B">
        <w:rPr>
          <w:b/>
          <w:sz w:val="28"/>
          <w:szCs w:val="28"/>
        </w:rPr>
        <w:t xml:space="preserve">inancial </w:t>
      </w:r>
      <w:r w:rsidR="004E5DD4" w:rsidRPr="0066355B">
        <w:rPr>
          <w:b/>
          <w:sz w:val="28"/>
          <w:szCs w:val="28"/>
        </w:rPr>
        <w:t>i</w:t>
      </w:r>
      <w:r w:rsidRPr="0066355B">
        <w:rPr>
          <w:b/>
          <w:sz w:val="28"/>
          <w:szCs w:val="28"/>
        </w:rPr>
        <w:t xml:space="preserve">mpact on the </w:t>
      </w:r>
      <w:proofErr w:type="gramStart"/>
      <w:r w:rsidR="00CD2E5C">
        <w:rPr>
          <w:b/>
          <w:sz w:val="28"/>
          <w:szCs w:val="28"/>
        </w:rPr>
        <w:t>T</w:t>
      </w:r>
      <w:r w:rsidRPr="0066355B">
        <w:rPr>
          <w:b/>
          <w:sz w:val="28"/>
          <w:szCs w:val="28"/>
        </w:rPr>
        <w:t>rust</w:t>
      </w:r>
      <w:proofErr w:type="gramEnd"/>
    </w:p>
    <w:p w14:paraId="2BC8CD0B" w14:textId="77777777" w:rsidR="00E312FE" w:rsidRDefault="00E312FE" w:rsidP="00E312FE">
      <w:pPr>
        <w:pStyle w:val="ColorfulList-Accent11"/>
        <w:tabs>
          <w:tab w:val="left" w:pos="3840"/>
        </w:tabs>
        <w:ind w:left="0"/>
        <w:rPr>
          <w:sz w:val="28"/>
          <w:szCs w:val="28"/>
        </w:rPr>
      </w:pPr>
    </w:p>
    <w:p w14:paraId="516EDB3D" w14:textId="57C50B65" w:rsidR="00451BDB" w:rsidRDefault="00E312FE" w:rsidP="00A57E85">
      <w:pPr>
        <w:pStyle w:val="ColorfulList-Accent11"/>
        <w:tabs>
          <w:tab w:val="left" w:pos="3840"/>
        </w:tabs>
        <w:ind w:left="1134" w:hanging="425"/>
        <w:rPr>
          <w:sz w:val="28"/>
          <w:szCs w:val="28"/>
        </w:rPr>
      </w:pPr>
      <w:r>
        <w:rPr>
          <w:sz w:val="28"/>
          <w:szCs w:val="28"/>
        </w:rPr>
        <w:t xml:space="preserve">5.1 </w:t>
      </w:r>
      <w:r w:rsidR="00E15C71">
        <w:rPr>
          <w:sz w:val="28"/>
          <w:szCs w:val="28"/>
        </w:rPr>
        <w:t xml:space="preserve">The welfare sub-committee can </w:t>
      </w:r>
      <w:r w:rsidR="00CD2E5C">
        <w:rPr>
          <w:sz w:val="28"/>
          <w:szCs w:val="28"/>
        </w:rPr>
        <w:t>appoint and vary the terms of a</w:t>
      </w:r>
      <w:r>
        <w:rPr>
          <w:sz w:val="28"/>
          <w:szCs w:val="28"/>
        </w:rPr>
        <w:t xml:space="preserve"> </w:t>
      </w:r>
      <w:proofErr w:type="gramStart"/>
      <w:r w:rsidR="00062A96">
        <w:rPr>
          <w:sz w:val="28"/>
          <w:szCs w:val="28"/>
        </w:rPr>
        <w:t>B</w:t>
      </w:r>
      <w:r w:rsidR="00E15C71">
        <w:rPr>
          <w:sz w:val="28"/>
          <w:szCs w:val="28"/>
        </w:rPr>
        <w:t>eneficiary</w:t>
      </w:r>
      <w:proofErr w:type="gramEnd"/>
      <w:r w:rsidR="00E15C71">
        <w:rPr>
          <w:sz w:val="28"/>
          <w:szCs w:val="28"/>
        </w:rPr>
        <w:t xml:space="preserve"> but the termination of a </w:t>
      </w:r>
      <w:r w:rsidR="00BC0771">
        <w:rPr>
          <w:sz w:val="28"/>
          <w:szCs w:val="28"/>
        </w:rPr>
        <w:t>L</w:t>
      </w:r>
      <w:r w:rsidR="00E15C71">
        <w:rPr>
          <w:sz w:val="28"/>
          <w:szCs w:val="28"/>
        </w:rPr>
        <w:t xml:space="preserve">etter of </w:t>
      </w:r>
      <w:r w:rsidR="00BC0771">
        <w:rPr>
          <w:sz w:val="28"/>
          <w:szCs w:val="28"/>
        </w:rPr>
        <w:t>A</w:t>
      </w:r>
      <w:r w:rsidR="00E15C71">
        <w:rPr>
          <w:sz w:val="28"/>
          <w:szCs w:val="28"/>
        </w:rPr>
        <w:t xml:space="preserve">ppointment can only be agreed by a resolution at a properly convened </w:t>
      </w:r>
      <w:r w:rsidR="0035281F">
        <w:rPr>
          <w:sz w:val="28"/>
          <w:szCs w:val="28"/>
        </w:rPr>
        <w:t>T</w:t>
      </w:r>
      <w:r w:rsidR="00E15C71">
        <w:rPr>
          <w:sz w:val="28"/>
          <w:szCs w:val="28"/>
        </w:rPr>
        <w:t xml:space="preserve">rustees meeting passed by a simple majority of </w:t>
      </w:r>
      <w:r w:rsidR="0035281F">
        <w:rPr>
          <w:sz w:val="28"/>
          <w:szCs w:val="28"/>
        </w:rPr>
        <w:t>T</w:t>
      </w:r>
      <w:r w:rsidR="00E15C71">
        <w:rPr>
          <w:sz w:val="28"/>
          <w:szCs w:val="28"/>
        </w:rPr>
        <w:t>rustees present</w:t>
      </w:r>
    </w:p>
    <w:p w14:paraId="24DD8E80" w14:textId="77777777" w:rsidR="00451BDB" w:rsidRDefault="00451BDB" w:rsidP="00AD6A09">
      <w:pPr>
        <w:pStyle w:val="ColorfulList-Accent11"/>
        <w:tabs>
          <w:tab w:val="left" w:pos="3840"/>
        </w:tabs>
        <w:ind w:left="1080"/>
        <w:rPr>
          <w:sz w:val="28"/>
          <w:szCs w:val="28"/>
        </w:rPr>
      </w:pPr>
    </w:p>
    <w:p w14:paraId="5772A532" w14:textId="77777777" w:rsidR="002416DA" w:rsidRDefault="00BC0771" w:rsidP="00E312FE">
      <w:pPr>
        <w:pStyle w:val="ColorfulList-Accent11"/>
        <w:tabs>
          <w:tab w:val="left" w:pos="3840"/>
        </w:tabs>
        <w:ind w:left="1134" w:hanging="414"/>
        <w:rPr>
          <w:sz w:val="28"/>
          <w:szCs w:val="28"/>
        </w:rPr>
      </w:pPr>
      <w:r>
        <w:rPr>
          <w:sz w:val="28"/>
          <w:szCs w:val="28"/>
        </w:rPr>
        <w:t>5</w:t>
      </w:r>
      <w:r w:rsidR="00E15C71">
        <w:rPr>
          <w:sz w:val="28"/>
          <w:szCs w:val="28"/>
        </w:rPr>
        <w:t xml:space="preserve">.2 Decisions regarding any other transactions which potentially impact the assets of the </w:t>
      </w:r>
      <w:r w:rsidR="00062A96">
        <w:rPr>
          <w:sz w:val="28"/>
          <w:szCs w:val="28"/>
        </w:rPr>
        <w:t>T</w:t>
      </w:r>
      <w:r w:rsidR="00E15C71">
        <w:rPr>
          <w:sz w:val="28"/>
          <w:szCs w:val="28"/>
        </w:rPr>
        <w:t>rust must be agreed by a resolution at a properly</w:t>
      </w:r>
      <w:r w:rsidR="004E5DD4">
        <w:rPr>
          <w:sz w:val="28"/>
          <w:szCs w:val="28"/>
        </w:rPr>
        <w:t xml:space="preserve"> con</w:t>
      </w:r>
      <w:r w:rsidR="00E15C71">
        <w:rPr>
          <w:sz w:val="28"/>
          <w:szCs w:val="28"/>
        </w:rPr>
        <w:t xml:space="preserve">vened </w:t>
      </w:r>
      <w:r w:rsidR="0035281F">
        <w:rPr>
          <w:sz w:val="28"/>
          <w:szCs w:val="28"/>
        </w:rPr>
        <w:t>T</w:t>
      </w:r>
      <w:r w:rsidR="00E15C71">
        <w:rPr>
          <w:sz w:val="28"/>
          <w:szCs w:val="28"/>
        </w:rPr>
        <w:t xml:space="preserve">rustees meeting passed by a simple majority of </w:t>
      </w:r>
      <w:r w:rsidR="0035281F">
        <w:rPr>
          <w:sz w:val="28"/>
          <w:szCs w:val="28"/>
        </w:rPr>
        <w:t>T</w:t>
      </w:r>
      <w:r w:rsidR="00E15C71">
        <w:rPr>
          <w:sz w:val="28"/>
          <w:szCs w:val="28"/>
        </w:rPr>
        <w:t>rustees present.</w:t>
      </w:r>
      <w:r w:rsidR="004E5DD4">
        <w:rPr>
          <w:sz w:val="28"/>
          <w:szCs w:val="28"/>
        </w:rPr>
        <w:t xml:space="preserve"> These decisions include, but are not limited to</w:t>
      </w:r>
      <w:r w:rsidR="002416DA">
        <w:rPr>
          <w:sz w:val="28"/>
          <w:szCs w:val="28"/>
        </w:rPr>
        <w:t>:</w:t>
      </w:r>
    </w:p>
    <w:p w14:paraId="5ED6D737" w14:textId="77777777" w:rsidR="002416DA" w:rsidRDefault="002416DA" w:rsidP="00E312FE">
      <w:pPr>
        <w:pStyle w:val="ColorfulList-Accent11"/>
        <w:tabs>
          <w:tab w:val="left" w:pos="3840"/>
        </w:tabs>
        <w:ind w:left="1134" w:hanging="414"/>
        <w:rPr>
          <w:sz w:val="28"/>
          <w:szCs w:val="28"/>
        </w:rPr>
      </w:pPr>
    </w:p>
    <w:p w14:paraId="4257C279" w14:textId="77777777" w:rsidR="002416DA" w:rsidRDefault="004E5DD4" w:rsidP="002416DA">
      <w:pPr>
        <w:pStyle w:val="ColorfulList-Accent11"/>
        <w:numPr>
          <w:ilvl w:val="0"/>
          <w:numId w:val="8"/>
        </w:numPr>
        <w:tabs>
          <w:tab w:val="left" w:pos="3840"/>
        </w:tabs>
        <w:rPr>
          <w:sz w:val="28"/>
          <w:szCs w:val="28"/>
        </w:rPr>
      </w:pPr>
      <w:r>
        <w:rPr>
          <w:sz w:val="28"/>
          <w:szCs w:val="28"/>
        </w:rPr>
        <w:t>the acquisition or disposal of any land or creation of any lease mortgage or other interest</w:t>
      </w:r>
    </w:p>
    <w:p w14:paraId="369F84FE" w14:textId="77777777" w:rsidR="002416DA" w:rsidRDefault="004E5DD4" w:rsidP="002416DA">
      <w:pPr>
        <w:pStyle w:val="ColorfulList-Accent11"/>
        <w:numPr>
          <w:ilvl w:val="0"/>
          <w:numId w:val="8"/>
        </w:numPr>
        <w:tabs>
          <w:tab w:val="left" w:pos="3840"/>
        </w:tabs>
        <w:rPr>
          <w:sz w:val="28"/>
          <w:szCs w:val="28"/>
        </w:rPr>
      </w:pPr>
      <w:r>
        <w:rPr>
          <w:sz w:val="28"/>
          <w:szCs w:val="28"/>
        </w:rPr>
        <w:t xml:space="preserve">the recruitment or termination of any </w:t>
      </w:r>
      <w:r w:rsidR="0035281F">
        <w:rPr>
          <w:sz w:val="28"/>
          <w:szCs w:val="28"/>
        </w:rPr>
        <w:t>T</w:t>
      </w:r>
      <w:r>
        <w:rPr>
          <w:sz w:val="28"/>
          <w:szCs w:val="28"/>
        </w:rPr>
        <w:t xml:space="preserve">rustee or </w:t>
      </w:r>
      <w:r w:rsidR="0035281F">
        <w:rPr>
          <w:sz w:val="28"/>
          <w:szCs w:val="28"/>
        </w:rPr>
        <w:t>O</w:t>
      </w:r>
      <w:r>
        <w:rPr>
          <w:sz w:val="28"/>
          <w:szCs w:val="28"/>
        </w:rPr>
        <w:t>fficer</w:t>
      </w:r>
    </w:p>
    <w:p w14:paraId="1E8314E3" w14:textId="77777777" w:rsidR="002416DA" w:rsidRDefault="004E5DD4" w:rsidP="002416DA">
      <w:pPr>
        <w:pStyle w:val="ColorfulList-Accent11"/>
        <w:numPr>
          <w:ilvl w:val="0"/>
          <w:numId w:val="8"/>
        </w:numPr>
        <w:tabs>
          <w:tab w:val="left" w:pos="3840"/>
        </w:tabs>
        <w:rPr>
          <w:sz w:val="28"/>
          <w:szCs w:val="28"/>
        </w:rPr>
      </w:pPr>
      <w:r>
        <w:rPr>
          <w:sz w:val="28"/>
          <w:szCs w:val="28"/>
        </w:rPr>
        <w:t xml:space="preserve"> the appointment or removal of any professional advisors</w:t>
      </w:r>
    </w:p>
    <w:p w14:paraId="513E724A" w14:textId="77777777" w:rsidR="002416DA" w:rsidRDefault="004E5DD4" w:rsidP="002416DA">
      <w:pPr>
        <w:pStyle w:val="ColorfulList-Accent11"/>
        <w:numPr>
          <w:ilvl w:val="0"/>
          <w:numId w:val="8"/>
        </w:numPr>
        <w:tabs>
          <w:tab w:val="left" w:pos="3840"/>
        </w:tabs>
        <w:rPr>
          <w:sz w:val="28"/>
          <w:szCs w:val="28"/>
        </w:rPr>
      </w:pPr>
      <w:r>
        <w:rPr>
          <w:sz w:val="28"/>
          <w:szCs w:val="28"/>
        </w:rPr>
        <w:t xml:space="preserve"> the appointment or removal of any contractors </w:t>
      </w:r>
    </w:p>
    <w:p w14:paraId="62B08815" w14:textId="60705A20" w:rsidR="00451BDB" w:rsidRDefault="002416DA" w:rsidP="002416DA">
      <w:pPr>
        <w:pStyle w:val="ColorfulList-Accent11"/>
        <w:numPr>
          <w:ilvl w:val="0"/>
          <w:numId w:val="8"/>
        </w:numPr>
        <w:tabs>
          <w:tab w:val="left" w:pos="3840"/>
        </w:tabs>
        <w:rPr>
          <w:sz w:val="28"/>
          <w:szCs w:val="28"/>
        </w:rPr>
      </w:pPr>
      <w:r>
        <w:rPr>
          <w:sz w:val="28"/>
          <w:szCs w:val="28"/>
        </w:rPr>
        <w:t>t</w:t>
      </w:r>
      <w:r w:rsidR="004E5DD4">
        <w:rPr>
          <w:sz w:val="28"/>
          <w:szCs w:val="28"/>
        </w:rPr>
        <w:t xml:space="preserve">he writing </w:t>
      </w:r>
      <w:proofErr w:type="gramStart"/>
      <w:r w:rsidR="004E5DD4">
        <w:rPr>
          <w:sz w:val="28"/>
          <w:szCs w:val="28"/>
        </w:rPr>
        <w:t>off of</w:t>
      </w:r>
      <w:proofErr w:type="gramEnd"/>
      <w:r w:rsidR="004E5DD4">
        <w:rPr>
          <w:sz w:val="28"/>
          <w:szCs w:val="28"/>
        </w:rPr>
        <w:t xml:space="preserve"> any bad debt. </w:t>
      </w:r>
      <w:r w:rsidR="00E15C71">
        <w:rPr>
          <w:sz w:val="28"/>
          <w:szCs w:val="28"/>
        </w:rPr>
        <w:tab/>
      </w:r>
    </w:p>
    <w:p w14:paraId="296187B0" w14:textId="77777777" w:rsidR="00451BDB" w:rsidRDefault="00451BDB" w:rsidP="00AD6A09">
      <w:pPr>
        <w:pStyle w:val="ColorfulList-Accent11"/>
        <w:tabs>
          <w:tab w:val="left" w:pos="3840"/>
        </w:tabs>
        <w:ind w:left="1080"/>
        <w:rPr>
          <w:sz w:val="28"/>
          <w:szCs w:val="28"/>
        </w:rPr>
      </w:pPr>
    </w:p>
    <w:p w14:paraId="1D9F40A8" w14:textId="77777777" w:rsidR="00A57E85" w:rsidRDefault="008A1161" w:rsidP="00A57E85">
      <w:pPr>
        <w:pStyle w:val="ColorfulList-Accent11"/>
        <w:numPr>
          <w:ilvl w:val="0"/>
          <w:numId w:val="1"/>
        </w:numPr>
        <w:tabs>
          <w:tab w:val="left" w:pos="709"/>
        </w:tabs>
        <w:rPr>
          <w:sz w:val="28"/>
          <w:szCs w:val="28"/>
        </w:rPr>
      </w:pPr>
      <w:r w:rsidRPr="0066355B">
        <w:rPr>
          <w:b/>
          <w:sz w:val="28"/>
          <w:szCs w:val="28"/>
        </w:rPr>
        <w:t>Authorisation of Payments</w:t>
      </w:r>
      <w:r w:rsidR="00A57E85">
        <w:rPr>
          <w:sz w:val="28"/>
          <w:szCs w:val="28"/>
        </w:rPr>
        <w:br/>
      </w:r>
    </w:p>
    <w:p w14:paraId="01803F15" w14:textId="77777777" w:rsidR="00AE1791" w:rsidRDefault="00AE1791" w:rsidP="00AE1791">
      <w:pPr>
        <w:pStyle w:val="ColorfulList-Accent11"/>
        <w:tabs>
          <w:tab w:val="left" w:pos="709"/>
        </w:tabs>
        <w:rPr>
          <w:sz w:val="28"/>
          <w:szCs w:val="28"/>
        </w:rPr>
      </w:pPr>
      <w:r>
        <w:rPr>
          <w:sz w:val="28"/>
          <w:szCs w:val="28"/>
        </w:rPr>
        <w:t>The Treasurer will authorise payments required by one Trustee provided that the payment was within budget or the commitment to that payment was agreed by the Trustees and notified to the Treasurer. Expense payments to Trustees will normally be by electronic transfer.</w:t>
      </w:r>
    </w:p>
    <w:p w14:paraId="3000B822" w14:textId="77777777" w:rsidR="008A1A5C" w:rsidRDefault="00A57E85" w:rsidP="00AE1791">
      <w:pPr>
        <w:pStyle w:val="ColorfulList-Accent11"/>
        <w:tabs>
          <w:tab w:val="left" w:pos="709"/>
        </w:tabs>
        <w:ind w:left="1134" w:hanging="774"/>
        <w:rPr>
          <w:sz w:val="28"/>
          <w:szCs w:val="28"/>
        </w:rPr>
      </w:pPr>
      <w:r>
        <w:rPr>
          <w:sz w:val="28"/>
          <w:szCs w:val="28"/>
        </w:rPr>
        <w:tab/>
      </w:r>
      <w:r w:rsidR="005772B2">
        <w:rPr>
          <w:sz w:val="28"/>
          <w:szCs w:val="28"/>
        </w:rPr>
        <w:t xml:space="preserve"> </w:t>
      </w:r>
    </w:p>
    <w:p w14:paraId="26A4D056" w14:textId="77777777" w:rsidR="006C0958" w:rsidRDefault="006C0958" w:rsidP="006C0958">
      <w:pPr>
        <w:pStyle w:val="ColorfulList-Accent11"/>
        <w:tabs>
          <w:tab w:val="left" w:pos="3840"/>
        </w:tabs>
        <w:rPr>
          <w:sz w:val="28"/>
          <w:szCs w:val="28"/>
        </w:rPr>
      </w:pPr>
    </w:p>
    <w:p w14:paraId="1BD94C5F" w14:textId="77777777" w:rsidR="006C0958" w:rsidRDefault="006C0958" w:rsidP="006C0958">
      <w:pPr>
        <w:pStyle w:val="ColorfulList-Accent11"/>
        <w:tabs>
          <w:tab w:val="left" w:pos="3840"/>
        </w:tabs>
        <w:rPr>
          <w:sz w:val="28"/>
          <w:szCs w:val="28"/>
        </w:rPr>
      </w:pPr>
    </w:p>
    <w:p w14:paraId="7A53A187" w14:textId="77777777" w:rsidR="008A1161" w:rsidRPr="00D67559" w:rsidRDefault="005772B2" w:rsidP="00D67559">
      <w:pPr>
        <w:pStyle w:val="ColorfulList-Accent11"/>
        <w:numPr>
          <w:ilvl w:val="0"/>
          <w:numId w:val="1"/>
        </w:numPr>
        <w:tabs>
          <w:tab w:val="left" w:pos="709"/>
        </w:tabs>
        <w:rPr>
          <w:b/>
          <w:sz w:val="28"/>
          <w:szCs w:val="28"/>
        </w:rPr>
      </w:pPr>
      <w:r w:rsidRPr="00D67559">
        <w:rPr>
          <w:b/>
          <w:sz w:val="28"/>
          <w:szCs w:val="28"/>
        </w:rPr>
        <w:t>Breach of Policy</w:t>
      </w:r>
    </w:p>
    <w:p w14:paraId="7568A566" w14:textId="77777777" w:rsidR="005772B2" w:rsidRDefault="005772B2" w:rsidP="005772B2">
      <w:pPr>
        <w:pStyle w:val="ColorfulList-Accent11"/>
        <w:tabs>
          <w:tab w:val="left" w:pos="3840"/>
        </w:tabs>
        <w:ind w:left="1080"/>
        <w:rPr>
          <w:sz w:val="28"/>
          <w:szCs w:val="28"/>
        </w:rPr>
      </w:pPr>
      <w:r>
        <w:rPr>
          <w:sz w:val="28"/>
          <w:szCs w:val="28"/>
        </w:rPr>
        <w:br/>
        <w:t xml:space="preserve">If a Trustee becomes aware of any breach of this policy, then they must report the issue in writing to the Treasurer and the Chairman. If no action is demonstrably </w:t>
      </w:r>
      <w:proofErr w:type="gramStart"/>
      <w:r>
        <w:rPr>
          <w:sz w:val="28"/>
          <w:szCs w:val="28"/>
        </w:rPr>
        <w:t>taken</w:t>
      </w:r>
      <w:proofErr w:type="gramEnd"/>
      <w:r>
        <w:rPr>
          <w:sz w:val="28"/>
          <w:szCs w:val="28"/>
        </w:rPr>
        <w:t xml:space="preserve"> then the matter must be reported in writing to the Chair of the Advisory Committee as soon as practicable as well as the auditor</w:t>
      </w:r>
      <w:r w:rsidR="00D67559">
        <w:rPr>
          <w:sz w:val="28"/>
          <w:szCs w:val="28"/>
        </w:rPr>
        <w:t>/independent examiner</w:t>
      </w:r>
      <w:r>
        <w:rPr>
          <w:sz w:val="28"/>
          <w:szCs w:val="28"/>
        </w:rPr>
        <w:t xml:space="preserve"> of the Trust.</w:t>
      </w:r>
    </w:p>
    <w:p w14:paraId="4A9E2B1F" w14:textId="77777777" w:rsidR="008A1161" w:rsidRDefault="008A1161" w:rsidP="008A1161">
      <w:pPr>
        <w:pStyle w:val="ColorfulList-Accent11"/>
        <w:tabs>
          <w:tab w:val="left" w:pos="3840"/>
        </w:tabs>
        <w:rPr>
          <w:sz w:val="28"/>
          <w:szCs w:val="28"/>
        </w:rPr>
      </w:pPr>
    </w:p>
    <w:sectPr w:rsidR="008A1161" w:rsidSect="00CD2E5C">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12E1" w14:textId="77777777" w:rsidR="00906440" w:rsidRDefault="00906440" w:rsidP="002F0FAA">
      <w:r>
        <w:separator/>
      </w:r>
    </w:p>
  </w:endnote>
  <w:endnote w:type="continuationSeparator" w:id="0">
    <w:p w14:paraId="32997C97" w14:textId="77777777" w:rsidR="00906440" w:rsidRDefault="00906440" w:rsidP="002F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C794" w14:textId="77777777" w:rsidR="00545A82" w:rsidRPr="00D67559" w:rsidRDefault="00545A82">
    <w:pPr>
      <w:pStyle w:val="Footer"/>
      <w:rPr>
        <w:rFonts w:ascii="Times New Roman" w:hAnsi="Times New Roman"/>
        <w:noProof/>
      </w:rPr>
    </w:pPr>
    <w:r>
      <w:tab/>
    </w:r>
    <w:r>
      <w:tab/>
    </w:r>
    <w:r>
      <w:rPr>
        <w:rFonts w:ascii="Times New Roman" w:hAnsi="Times New Roman"/>
      </w:rPr>
      <w:t xml:space="preserve">Page </w:t>
    </w:r>
    <w:r w:rsidR="00CE3F18">
      <w:rPr>
        <w:rFonts w:ascii="Times New Roman" w:hAnsi="Times New Roman"/>
      </w:rPr>
      <w:fldChar w:fldCharType="begin"/>
    </w:r>
    <w:r>
      <w:rPr>
        <w:rFonts w:ascii="Times New Roman" w:hAnsi="Times New Roman"/>
      </w:rPr>
      <w:instrText xml:space="preserve"> PAGE </w:instrText>
    </w:r>
    <w:r w:rsidR="00CE3F18">
      <w:rPr>
        <w:rFonts w:ascii="Times New Roman" w:hAnsi="Times New Roman"/>
      </w:rPr>
      <w:fldChar w:fldCharType="separate"/>
    </w:r>
    <w:r w:rsidR="00046EA8">
      <w:rPr>
        <w:rFonts w:ascii="Times New Roman" w:hAnsi="Times New Roman"/>
        <w:noProof/>
      </w:rPr>
      <w:t>3</w:t>
    </w:r>
    <w:r w:rsidR="00CE3F18">
      <w:rPr>
        <w:rFonts w:ascii="Times New Roman" w:hAnsi="Times New Roman"/>
      </w:rPr>
      <w:fldChar w:fldCharType="end"/>
    </w:r>
    <w:r>
      <w:rPr>
        <w:rFonts w:ascii="Times New Roman" w:hAnsi="Times New Roman"/>
      </w:rPr>
      <w:t xml:space="preserve"> of </w:t>
    </w:r>
    <w:r w:rsidR="00CE3F18">
      <w:rPr>
        <w:rFonts w:ascii="Times New Roman" w:hAnsi="Times New Roman"/>
      </w:rPr>
      <w:fldChar w:fldCharType="begin"/>
    </w:r>
    <w:r>
      <w:rPr>
        <w:rFonts w:ascii="Times New Roman" w:hAnsi="Times New Roman"/>
      </w:rPr>
      <w:instrText xml:space="preserve"> NUMPAGES </w:instrText>
    </w:r>
    <w:r w:rsidR="00CE3F18">
      <w:rPr>
        <w:rFonts w:ascii="Times New Roman" w:hAnsi="Times New Roman"/>
      </w:rPr>
      <w:fldChar w:fldCharType="separate"/>
    </w:r>
    <w:r w:rsidR="00046EA8">
      <w:rPr>
        <w:rFonts w:ascii="Times New Roman" w:hAnsi="Times New Roman"/>
        <w:noProof/>
      </w:rPr>
      <w:t>5</w:t>
    </w:r>
    <w:r w:rsidR="00CE3F1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30DE" w14:textId="77777777" w:rsidR="00906440" w:rsidRDefault="00906440" w:rsidP="002F0FAA">
      <w:r>
        <w:separator/>
      </w:r>
    </w:p>
  </w:footnote>
  <w:footnote w:type="continuationSeparator" w:id="0">
    <w:p w14:paraId="3B139D56" w14:textId="77777777" w:rsidR="00906440" w:rsidRDefault="00906440" w:rsidP="002F0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1E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837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C11624"/>
    <w:multiLevelType w:val="hybridMultilevel"/>
    <w:tmpl w:val="5428D2C0"/>
    <w:lvl w:ilvl="0" w:tplc="95D0E136">
      <w:start w:val="4"/>
      <w:numFmt w:val="bullet"/>
      <w:lvlText w:val=""/>
      <w:lvlJc w:val="left"/>
      <w:pPr>
        <w:ind w:left="1440" w:hanging="360"/>
      </w:pPr>
      <w:rPr>
        <w:rFonts w:ascii="Symbol" w:eastAsia="MS Mincho"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181C68"/>
    <w:multiLevelType w:val="hybridMultilevel"/>
    <w:tmpl w:val="067C270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7AF39D7"/>
    <w:multiLevelType w:val="hybridMultilevel"/>
    <w:tmpl w:val="34A64D3E"/>
    <w:lvl w:ilvl="0" w:tplc="0809000F">
      <w:start w:val="1"/>
      <w:numFmt w:val="decimal"/>
      <w:lvlText w:val="%1."/>
      <w:lvlJc w:val="left"/>
      <w:pPr>
        <w:ind w:left="2520" w:hanging="360"/>
      </w:pPr>
    </w:lvl>
    <w:lvl w:ilvl="1" w:tplc="0809000F">
      <w:start w:val="1"/>
      <w:numFmt w:val="decimal"/>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30A108C"/>
    <w:multiLevelType w:val="hybridMultilevel"/>
    <w:tmpl w:val="F518297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7E2D56DA"/>
    <w:multiLevelType w:val="hybridMultilevel"/>
    <w:tmpl w:val="3CFE5B74"/>
    <w:lvl w:ilvl="0" w:tplc="0809000F">
      <w:start w:val="1"/>
      <w:numFmt w:val="decimal"/>
      <w:lvlText w:val="%1."/>
      <w:lvlJc w:val="left"/>
      <w:pPr>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316980"/>
    <w:multiLevelType w:val="hybridMultilevel"/>
    <w:tmpl w:val="E940E26E"/>
    <w:lvl w:ilvl="0" w:tplc="2124B1B8">
      <w:start w:val="1"/>
      <w:numFmt w:val="decimal"/>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584598">
    <w:abstractNumId w:val="7"/>
  </w:num>
  <w:num w:numId="2" w16cid:durableId="1914386647">
    <w:abstractNumId w:val="2"/>
  </w:num>
  <w:num w:numId="3" w16cid:durableId="1829638227">
    <w:abstractNumId w:val="1"/>
  </w:num>
  <w:num w:numId="4" w16cid:durableId="1413089835">
    <w:abstractNumId w:val="0"/>
  </w:num>
  <w:num w:numId="5" w16cid:durableId="1321696652">
    <w:abstractNumId w:val="3"/>
  </w:num>
  <w:num w:numId="6" w16cid:durableId="1736125553">
    <w:abstractNumId w:val="4"/>
  </w:num>
  <w:num w:numId="7" w16cid:durableId="1411001394">
    <w:abstractNumId w:val="6"/>
  </w:num>
  <w:num w:numId="8" w16cid:durableId="1166746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10"/>
    <w:rsid w:val="00006EDF"/>
    <w:rsid w:val="000239CE"/>
    <w:rsid w:val="00026554"/>
    <w:rsid w:val="00046EA8"/>
    <w:rsid w:val="00052070"/>
    <w:rsid w:val="00062A96"/>
    <w:rsid w:val="00092083"/>
    <w:rsid w:val="00152FB6"/>
    <w:rsid w:val="0018333F"/>
    <w:rsid w:val="0019352D"/>
    <w:rsid w:val="001B0880"/>
    <w:rsid w:val="001F4EBC"/>
    <w:rsid w:val="002225F5"/>
    <w:rsid w:val="002416DA"/>
    <w:rsid w:val="00265AEC"/>
    <w:rsid w:val="00270953"/>
    <w:rsid w:val="00291BBC"/>
    <w:rsid w:val="002B6CCF"/>
    <w:rsid w:val="002D1AA5"/>
    <w:rsid w:val="002D2D21"/>
    <w:rsid w:val="002F0FAA"/>
    <w:rsid w:val="002F78BE"/>
    <w:rsid w:val="00326B93"/>
    <w:rsid w:val="0035281F"/>
    <w:rsid w:val="003D4E5C"/>
    <w:rsid w:val="003E7C28"/>
    <w:rsid w:val="00413EEE"/>
    <w:rsid w:val="00451BDB"/>
    <w:rsid w:val="004E0FF1"/>
    <w:rsid w:val="004E5DD4"/>
    <w:rsid w:val="00505185"/>
    <w:rsid w:val="00516F34"/>
    <w:rsid w:val="0052652E"/>
    <w:rsid w:val="00537710"/>
    <w:rsid w:val="00545A82"/>
    <w:rsid w:val="005772B2"/>
    <w:rsid w:val="00625D69"/>
    <w:rsid w:val="0066355B"/>
    <w:rsid w:val="006779F4"/>
    <w:rsid w:val="0068276F"/>
    <w:rsid w:val="00687F1A"/>
    <w:rsid w:val="006B729A"/>
    <w:rsid w:val="006C0958"/>
    <w:rsid w:val="006F7B6A"/>
    <w:rsid w:val="0070783D"/>
    <w:rsid w:val="00757B2C"/>
    <w:rsid w:val="00856B91"/>
    <w:rsid w:val="008A1161"/>
    <w:rsid w:val="008A1A5C"/>
    <w:rsid w:val="00906440"/>
    <w:rsid w:val="00916614"/>
    <w:rsid w:val="00947836"/>
    <w:rsid w:val="009913C5"/>
    <w:rsid w:val="009B5BB9"/>
    <w:rsid w:val="009D59BE"/>
    <w:rsid w:val="009F10EF"/>
    <w:rsid w:val="00A21D06"/>
    <w:rsid w:val="00A42AA5"/>
    <w:rsid w:val="00A57E85"/>
    <w:rsid w:val="00A718EC"/>
    <w:rsid w:val="00A97314"/>
    <w:rsid w:val="00AD6A09"/>
    <w:rsid w:val="00AE1791"/>
    <w:rsid w:val="00B2393E"/>
    <w:rsid w:val="00BA768A"/>
    <w:rsid w:val="00BC0771"/>
    <w:rsid w:val="00C4433D"/>
    <w:rsid w:val="00C847E9"/>
    <w:rsid w:val="00CD2E5C"/>
    <w:rsid w:val="00CE3F18"/>
    <w:rsid w:val="00D36E1A"/>
    <w:rsid w:val="00D561F1"/>
    <w:rsid w:val="00D67559"/>
    <w:rsid w:val="00D70E35"/>
    <w:rsid w:val="00DC086D"/>
    <w:rsid w:val="00DD62CA"/>
    <w:rsid w:val="00E15C71"/>
    <w:rsid w:val="00E255C9"/>
    <w:rsid w:val="00E312FE"/>
    <w:rsid w:val="00EA64C8"/>
    <w:rsid w:val="00EF783E"/>
    <w:rsid w:val="00F0365F"/>
    <w:rsid w:val="00F064A8"/>
    <w:rsid w:val="00F50BD3"/>
    <w:rsid w:val="00F555E9"/>
    <w:rsid w:val="00F70A18"/>
    <w:rsid w:val="00FD3311"/>
    <w:rsid w:val="00FD5C8E"/>
    <w:rsid w:val="00FF0A56"/>
    <w:rsid w:val="00FF64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5DB6E"/>
  <w15:docId w15:val="{050369AE-2FB0-4A52-99C0-C3185DAF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E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37710"/>
    <w:pPr>
      <w:ind w:left="720"/>
      <w:contextualSpacing/>
    </w:pPr>
  </w:style>
  <w:style w:type="table" w:styleId="TableGrid">
    <w:name w:val="Table Grid"/>
    <w:basedOn w:val="TableNormal"/>
    <w:uiPriority w:val="39"/>
    <w:rsid w:val="0053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FAA"/>
    <w:pPr>
      <w:tabs>
        <w:tab w:val="center" w:pos="4320"/>
        <w:tab w:val="right" w:pos="8640"/>
      </w:tabs>
    </w:pPr>
  </w:style>
  <w:style w:type="character" w:customStyle="1" w:styleId="HeaderChar">
    <w:name w:val="Header Char"/>
    <w:link w:val="Header"/>
    <w:uiPriority w:val="99"/>
    <w:rsid w:val="002F0FAA"/>
    <w:rPr>
      <w:sz w:val="24"/>
      <w:szCs w:val="24"/>
    </w:rPr>
  </w:style>
  <w:style w:type="paragraph" w:styleId="Footer">
    <w:name w:val="footer"/>
    <w:basedOn w:val="Normal"/>
    <w:link w:val="FooterChar"/>
    <w:uiPriority w:val="99"/>
    <w:unhideWhenUsed/>
    <w:rsid w:val="002F0FAA"/>
    <w:pPr>
      <w:tabs>
        <w:tab w:val="center" w:pos="4320"/>
        <w:tab w:val="right" w:pos="8640"/>
      </w:tabs>
    </w:pPr>
  </w:style>
  <w:style w:type="character" w:customStyle="1" w:styleId="FooterChar">
    <w:name w:val="Footer Char"/>
    <w:link w:val="Footer"/>
    <w:uiPriority w:val="99"/>
    <w:rsid w:val="002F0FAA"/>
    <w:rPr>
      <w:sz w:val="24"/>
      <w:szCs w:val="24"/>
    </w:rPr>
  </w:style>
  <w:style w:type="paragraph" w:styleId="BalloonText">
    <w:name w:val="Balloon Text"/>
    <w:basedOn w:val="Normal"/>
    <w:link w:val="BalloonTextChar"/>
    <w:uiPriority w:val="99"/>
    <w:semiHidden/>
    <w:unhideWhenUsed/>
    <w:rsid w:val="00856B91"/>
    <w:rPr>
      <w:rFonts w:ascii="Lucida Grande" w:hAnsi="Lucida Grande" w:cs="Lucida Grande"/>
      <w:sz w:val="18"/>
      <w:szCs w:val="18"/>
    </w:rPr>
  </w:style>
  <w:style w:type="character" w:customStyle="1" w:styleId="BalloonTextChar">
    <w:name w:val="Balloon Text Char"/>
    <w:link w:val="BalloonText"/>
    <w:uiPriority w:val="99"/>
    <w:semiHidden/>
    <w:rsid w:val="00856B91"/>
    <w:rPr>
      <w:rFonts w:ascii="Lucida Grande" w:hAnsi="Lucida Grande" w:cs="Lucida Grande"/>
      <w:sz w:val="18"/>
      <w:szCs w:val="18"/>
      <w:lang w:eastAsia="en-US"/>
    </w:rPr>
  </w:style>
  <w:style w:type="paragraph" w:styleId="DocumentMap">
    <w:name w:val="Document Map"/>
    <w:basedOn w:val="Normal"/>
    <w:link w:val="DocumentMapChar"/>
    <w:uiPriority w:val="99"/>
    <w:semiHidden/>
    <w:unhideWhenUsed/>
    <w:rsid w:val="002F78BE"/>
    <w:rPr>
      <w:rFonts w:ascii="Tahoma" w:hAnsi="Tahoma" w:cs="Tahoma"/>
      <w:sz w:val="16"/>
      <w:szCs w:val="16"/>
    </w:rPr>
  </w:style>
  <w:style w:type="character" w:customStyle="1" w:styleId="DocumentMapChar">
    <w:name w:val="Document Map Char"/>
    <w:basedOn w:val="DefaultParagraphFont"/>
    <w:link w:val="DocumentMap"/>
    <w:uiPriority w:val="99"/>
    <w:semiHidden/>
    <w:rsid w:val="002F78B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2EF1-1F6D-4A74-B1A9-3DE99B16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21937</TotalTime>
  <Pages>6</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Dufton</dc:creator>
  <cp:lastModifiedBy>martin blackwell</cp:lastModifiedBy>
  <cp:revision>7</cp:revision>
  <cp:lastPrinted>2021-04-27T07:58:00Z</cp:lastPrinted>
  <dcterms:created xsi:type="dcterms:W3CDTF">2021-04-30T09:28:00Z</dcterms:created>
  <dcterms:modified xsi:type="dcterms:W3CDTF">2023-11-08T09:24:00Z</dcterms:modified>
</cp:coreProperties>
</file>