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E1BF" w14:textId="77777777" w:rsidR="00E41817" w:rsidRDefault="00E41817"/>
    <w:tbl>
      <w:tblPr>
        <w:tblStyle w:val="TableGrid"/>
        <w:tblW w:w="0" w:type="auto"/>
        <w:tblLook w:val="04A0" w:firstRow="1" w:lastRow="0" w:firstColumn="1" w:lastColumn="0" w:noHBand="0" w:noVBand="1"/>
      </w:tblPr>
      <w:tblGrid>
        <w:gridCol w:w="4140"/>
        <w:gridCol w:w="4150"/>
      </w:tblGrid>
      <w:tr w:rsidR="00E41817" w14:paraId="6E1662F9" w14:textId="77777777" w:rsidTr="00E41817">
        <w:tc>
          <w:tcPr>
            <w:tcW w:w="4258" w:type="dxa"/>
          </w:tcPr>
          <w:p w14:paraId="3279334E" w14:textId="77777777" w:rsidR="00E41817" w:rsidRDefault="00E41817">
            <w:r>
              <w:t>Chandos &amp; Dent’s Almshouses</w:t>
            </w:r>
          </w:p>
          <w:p w14:paraId="6EB205C9" w14:textId="77777777" w:rsidR="00E41817" w:rsidRDefault="00E41817"/>
        </w:tc>
        <w:tc>
          <w:tcPr>
            <w:tcW w:w="4258" w:type="dxa"/>
          </w:tcPr>
          <w:p w14:paraId="3E94D0AD" w14:textId="6EBAD6DE" w:rsidR="00E41817" w:rsidRDefault="00E41817">
            <w:r>
              <w:t>In</w:t>
            </w:r>
            <w:r w:rsidR="001D7059">
              <w:t>dependent Living</w:t>
            </w:r>
          </w:p>
        </w:tc>
      </w:tr>
      <w:tr w:rsidR="00E41817" w14:paraId="470B908D" w14:textId="77777777" w:rsidTr="00E41817">
        <w:tc>
          <w:tcPr>
            <w:tcW w:w="4258" w:type="dxa"/>
          </w:tcPr>
          <w:p w14:paraId="6BDFDA66" w14:textId="77777777" w:rsidR="00E41817" w:rsidRDefault="00E41817">
            <w:r>
              <w:t>Owner</w:t>
            </w:r>
          </w:p>
          <w:p w14:paraId="05CA6349" w14:textId="77777777" w:rsidR="00E41817" w:rsidRDefault="00E41817"/>
        </w:tc>
        <w:tc>
          <w:tcPr>
            <w:tcW w:w="4258" w:type="dxa"/>
          </w:tcPr>
          <w:p w14:paraId="404F8E1C" w14:textId="5E2332A6" w:rsidR="00E41817" w:rsidRDefault="00E41817">
            <w:r>
              <w:t>A</w:t>
            </w:r>
            <w:r w:rsidR="00EA1C9F">
              <w:t xml:space="preserve">ppointments </w:t>
            </w:r>
            <w:r>
              <w:t>&amp;</w:t>
            </w:r>
            <w:r w:rsidR="00EA1C9F">
              <w:t xml:space="preserve"> </w:t>
            </w:r>
            <w:r>
              <w:t>W</w:t>
            </w:r>
            <w:r w:rsidR="00EA1C9F">
              <w:t>elfare</w:t>
            </w:r>
          </w:p>
        </w:tc>
      </w:tr>
      <w:tr w:rsidR="00E41817" w14:paraId="7724A9D2" w14:textId="77777777" w:rsidTr="00E41817">
        <w:tc>
          <w:tcPr>
            <w:tcW w:w="4258" w:type="dxa"/>
          </w:tcPr>
          <w:p w14:paraId="2A1240BC" w14:textId="77777777" w:rsidR="00E41817" w:rsidRDefault="00E41817">
            <w:r>
              <w:t>Created</w:t>
            </w:r>
          </w:p>
          <w:p w14:paraId="194A264B" w14:textId="77777777" w:rsidR="00E41817" w:rsidRDefault="00E41817"/>
        </w:tc>
        <w:tc>
          <w:tcPr>
            <w:tcW w:w="4258" w:type="dxa"/>
          </w:tcPr>
          <w:p w14:paraId="4CABD55A" w14:textId="733CBE7B" w:rsidR="00E41817" w:rsidRDefault="00E86CFF">
            <w:r>
              <w:t>October</w:t>
            </w:r>
            <w:r w:rsidR="00E41817">
              <w:t xml:space="preserve"> 202</w:t>
            </w:r>
            <w:r w:rsidR="001D7059">
              <w:t>3</w:t>
            </w:r>
          </w:p>
        </w:tc>
      </w:tr>
      <w:tr w:rsidR="00E41817" w14:paraId="6A12B9E8" w14:textId="77777777" w:rsidTr="00E41817">
        <w:tc>
          <w:tcPr>
            <w:tcW w:w="4258" w:type="dxa"/>
          </w:tcPr>
          <w:p w14:paraId="5493CC1B" w14:textId="77777777" w:rsidR="00E41817" w:rsidRDefault="00E41817">
            <w:r>
              <w:t>Review Date</w:t>
            </w:r>
          </w:p>
          <w:p w14:paraId="450A1A86" w14:textId="77777777" w:rsidR="00E41817" w:rsidRDefault="00E41817"/>
        </w:tc>
        <w:tc>
          <w:tcPr>
            <w:tcW w:w="4258" w:type="dxa"/>
          </w:tcPr>
          <w:p w14:paraId="2FA8640B" w14:textId="334FAC5F" w:rsidR="00E41817" w:rsidRDefault="00E41817">
            <w:r>
              <w:t>October 202</w:t>
            </w:r>
            <w:r w:rsidR="001D7059">
              <w:t>5</w:t>
            </w:r>
          </w:p>
        </w:tc>
      </w:tr>
    </w:tbl>
    <w:p w14:paraId="6B72F729" w14:textId="77777777" w:rsidR="00AE02E3" w:rsidRDefault="00AE02E3"/>
    <w:p w14:paraId="3480BFBB" w14:textId="77777777" w:rsidR="00AE02E3" w:rsidRDefault="00AE02E3" w:rsidP="001D7059">
      <w:pPr>
        <w:jc w:val="center"/>
        <w:rPr>
          <w:b/>
        </w:rPr>
      </w:pPr>
      <w:r>
        <w:rPr>
          <w:b/>
        </w:rPr>
        <w:t>BACKGROUND</w:t>
      </w:r>
    </w:p>
    <w:p w14:paraId="4D4E249B" w14:textId="77777777" w:rsidR="00AE02E3" w:rsidRDefault="00AE02E3">
      <w:pPr>
        <w:rPr>
          <w:b/>
        </w:rPr>
      </w:pPr>
    </w:p>
    <w:p w14:paraId="49DF3662" w14:textId="245FD9F4" w:rsidR="00AE02E3" w:rsidRDefault="00AE02E3">
      <w:r>
        <w:t xml:space="preserve">It is a requirement that those accommodated in almshouses should be able to live independently which fortunately </w:t>
      </w:r>
      <w:r w:rsidR="001D7059">
        <w:t>many</w:t>
      </w:r>
      <w:r>
        <w:t xml:space="preserve"> residents are able to do into advanced age.  However, circumstances sometimes arise which </w:t>
      </w:r>
      <w:r w:rsidR="001D7059">
        <w:t>because of</w:t>
      </w:r>
      <w:r>
        <w:t xml:space="preserve"> illness, </w:t>
      </w:r>
      <w:r w:rsidR="00DF50A7">
        <w:t>infirmity,</w:t>
      </w:r>
      <w:r>
        <w:t xml:space="preserve"> and frailty lead to it being</w:t>
      </w:r>
      <w:r w:rsidR="004F3526">
        <w:t xml:space="preserve"> in</w:t>
      </w:r>
      <w:r>
        <w:t>advisable for residents to continue living in their almshouse.</w:t>
      </w:r>
    </w:p>
    <w:p w14:paraId="133632E8" w14:textId="77777777" w:rsidR="00AE02E3" w:rsidRDefault="00AE02E3"/>
    <w:p w14:paraId="214BB7F0" w14:textId="72FFE3EF" w:rsidR="00AE02E3" w:rsidRDefault="00AE02E3">
      <w:r>
        <w:t>As an aid to understanding ‘living independently’ t</w:t>
      </w:r>
      <w:r w:rsidR="00735B5E">
        <w:t xml:space="preserve">he NHS has some </w:t>
      </w:r>
      <w:r w:rsidR="00E86CFF">
        <w:t>guidelines used</w:t>
      </w:r>
      <w:r>
        <w:t xml:space="preserve"> by healthcare professionals to refer to the basic</w:t>
      </w:r>
      <w:r w:rsidR="004F3526">
        <w:t xml:space="preserve"> </w:t>
      </w:r>
      <w:r>
        <w:t xml:space="preserve">self-care tasks an individual does on a </w:t>
      </w:r>
      <w:r w:rsidR="00E86CFF">
        <w:t>day-to-day</w:t>
      </w:r>
      <w:r>
        <w:t xml:space="preserve"> basis. These are referred to a</w:t>
      </w:r>
      <w:r w:rsidR="004F3526">
        <w:t>s</w:t>
      </w:r>
      <w:r>
        <w:t xml:space="preserve"> </w:t>
      </w:r>
      <w:r w:rsidRPr="001D7059">
        <w:rPr>
          <w:b/>
          <w:bCs/>
        </w:rPr>
        <w:t>Activit</w:t>
      </w:r>
      <w:r w:rsidR="00551602">
        <w:rPr>
          <w:b/>
          <w:bCs/>
        </w:rPr>
        <w:t>ies</w:t>
      </w:r>
      <w:r w:rsidRPr="001D7059">
        <w:rPr>
          <w:b/>
          <w:bCs/>
        </w:rPr>
        <w:t xml:space="preserve"> of Daily Living ADL.</w:t>
      </w:r>
      <w:r>
        <w:t xml:space="preserve"> These activities are fundamental in caring for oneself and maintaining independence.  An</w:t>
      </w:r>
      <w:r w:rsidR="004F3526">
        <w:t xml:space="preserve"> individu</w:t>
      </w:r>
      <w:r>
        <w:t>al</w:t>
      </w:r>
      <w:r w:rsidR="004F3526">
        <w:t>’</w:t>
      </w:r>
      <w:r>
        <w:t xml:space="preserve">s ability or inability to perform ADLs is often used by health professionals as a way of measuring an </w:t>
      </w:r>
      <w:r w:rsidR="001D7059">
        <w:t>individual’s</w:t>
      </w:r>
      <w:r>
        <w:t xml:space="preserve"> functional status, especially that of older adults or those with disabilities.</w:t>
      </w:r>
    </w:p>
    <w:p w14:paraId="70DC3ADE" w14:textId="7A55434A" w:rsidR="004F3526" w:rsidRDefault="004F3526">
      <w:r>
        <w:t>These could be used by the Trust as some object</w:t>
      </w:r>
      <w:r w:rsidR="00C74806">
        <w:t>ive measure of increasing</w:t>
      </w:r>
      <w:r w:rsidR="00EA1C9F">
        <w:t xml:space="preserve"> physical and mental</w:t>
      </w:r>
      <w:r w:rsidR="00C74806">
        <w:t xml:space="preserve"> frail</w:t>
      </w:r>
      <w:r w:rsidR="00735B5E">
        <w:t>ty. However, resident</w:t>
      </w:r>
      <w:r>
        <w:t xml:space="preserve">s </w:t>
      </w:r>
      <w:r w:rsidR="00C74806">
        <w:t xml:space="preserve">will </w:t>
      </w:r>
      <w:r>
        <w:t>have differing individual</w:t>
      </w:r>
      <w:r w:rsidR="00C74806">
        <w:t xml:space="preserve"> characteristics and </w:t>
      </w:r>
      <w:r>
        <w:t>needs and therefore</w:t>
      </w:r>
      <w:r w:rsidR="00C74806">
        <w:t xml:space="preserve"> these guidel</w:t>
      </w:r>
      <w:r w:rsidR="00735B5E">
        <w:t>ines should be used sensitively</w:t>
      </w:r>
      <w:r w:rsidR="00C74806">
        <w:t xml:space="preserve"> and</w:t>
      </w:r>
      <w:r w:rsidR="00735B5E">
        <w:t xml:space="preserve"> always</w:t>
      </w:r>
      <w:r w:rsidR="00E86CFF">
        <w:t xml:space="preserve"> </w:t>
      </w:r>
      <w:r w:rsidR="00C74806">
        <w:t>in conjunction with</w:t>
      </w:r>
      <w:r w:rsidR="00735B5E">
        <w:t xml:space="preserve"> the opinions of</w:t>
      </w:r>
      <w:r w:rsidR="00C74806">
        <w:t xml:space="preserve"> health</w:t>
      </w:r>
      <w:r w:rsidR="00735B5E">
        <w:t xml:space="preserve"> and </w:t>
      </w:r>
      <w:r w:rsidR="00AE1DAE">
        <w:t xml:space="preserve">social </w:t>
      </w:r>
      <w:r w:rsidR="00735B5E">
        <w:t>care</w:t>
      </w:r>
      <w:r w:rsidR="00C74806">
        <w:t xml:space="preserve"> professionals.</w:t>
      </w:r>
    </w:p>
    <w:p w14:paraId="4BCB37D4" w14:textId="77777777" w:rsidR="00AE02E3" w:rsidRDefault="00AE02E3"/>
    <w:p w14:paraId="4E29B07C" w14:textId="29750228" w:rsidR="00AE02E3" w:rsidRDefault="00AE02E3">
      <w:r w:rsidRPr="001D7059">
        <w:rPr>
          <w:b/>
          <w:bCs/>
        </w:rPr>
        <w:t>Basic ADLs</w:t>
      </w:r>
      <w:r>
        <w:t xml:space="preserve"> include </w:t>
      </w:r>
      <w:r w:rsidR="001D7059">
        <w:t xml:space="preserve">- </w:t>
      </w:r>
      <w:r>
        <w:t xml:space="preserve">but are not limited </w:t>
      </w:r>
      <w:proofErr w:type="gramStart"/>
      <w:r>
        <w:t>to</w:t>
      </w:r>
      <w:proofErr w:type="gramEnd"/>
    </w:p>
    <w:p w14:paraId="3064512D" w14:textId="77777777" w:rsidR="00AE02E3" w:rsidRDefault="00AE02E3"/>
    <w:p w14:paraId="138AF3CE" w14:textId="595AC8D3" w:rsidR="00AE02E3" w:rsidRDefault="00FC0D2F" w:rsidP="00FC0D2F">
      <w:pPr>
        <w:pStyle w:val="ListParagraph"/>
        <w:numPr>
          <w:ilvl w:val="0"/>
          <w:numId w:val="1"/>
        </w:numPr>
      </w:pPr>
      <w:r>
        <w:t>Func</w:t>
      </w:r>
      <w:r w:rsidR="00735B5E">
        <w:t>t</w:t>
      </w:r>
      <w:r>
        <w:t>ional mobility, which includes the ability to walk and transfer in and out of a chair or bed.  Essentially, it’s the abi</w:t>
      </w:r>
      <w:r w:rsidR="004F3526">
        <w:t>l</w:t>
      </w:r>
      <w:r>
        <w:t>ity to move from one place to another as a person goes through their daily routines.</w:t>
      </w:r>
    </w:p>
    <w:p w14:paraId="54B7F21D" w14:textId="77777777" w:rsidR="00FC0D2F" w:rsidRDefault="00FC0D2F" w:rsidP="00FC0D2F"/>
    <w:p w14:paraId="2FD018EE" w14:textId="76708317" w:rsidR="00FC0D2F" w:rsidRDefault="00FC0D2F" w:rsidP="00FC0D2F">
      <w:pPr>
        <w:pStyle w:val="ListParagraph"/>
        <w:numPr>
          <w:ilvl w:val="0"/>
          <w:numId w:val="1"/>
        </w:numPr>
      </w:pPr>
      <w:r>
        <w:t xml:space="preserve">Personal hygiene, oral </w:t>
      </w:r>
      <w:r w:rsidR="001D7059">
        <w:t>care,</w:t>
      </w:r>
      <w:r>
        <w:t xml:space="preserve"> and grooming, including skin and hair care.</w:t>
      </w:r>
    </w:p>
    <w:p w14:paraId="5D59267F" w14:textId="77777777" w:rsidR="00FC0D2F" w:rsidRDefault="00FC0D2F" w:rsidP="00FC0D2F"/>
    <w:p w14:paraId="4026AD47" w14:textId="77777777" w:rsidR="00FC0D2F" w:rsidRDefault="00FC0D2F" w:rsidP="00FC0D2F">
      <w:pPr>
        <w:pStyle w:val="ListParagraph"/>
        <w:numPr>
          <w:ilvl w:val="0"/>
          <w:numId w:val="1"/>
        </w:numPr>
      </w:pPr>
      <w:r>
        <w:t>Showering and/or bathing</w:t>
      </w:r>
    </w:p>
    <w:p w14:paraId="26D26026" w14:textId="77777777" w:rsidR="00FC0D2F" w:rsidRDefault="00FC0D2F" w:rsidP="00FC0D2F"/>
    <w:p w14:paraId="6FBF6619" w14:textId="56B3C1B6" w:rsidR="00FC0D2F" w:rsidRDefault="00FC0D2F" w:rsidP="00FC0D2F">
      <w:pPr>
        <w:pStyle w:val="ListParagraph"/>
        <w:numPr>
          <w:ilvl w:val="0"/>
          <w:numId w:val="1"/>
        </w:numPr>
      </w:pPr>
      <w:r>
        <w:t>Toileting, which includes getting on</w:t>
      </w:r>
      <w:r w:rsidR="001D7059">
        <w:t xml:space="preserve"> and </w:t>
      </w:r>
      <w:r>
        <w:t xml:space="preserve">off the toilet and cleaning </w:t>
      </w:r>
      <w:proofErr w:type="gramStart"/>
      <w:r>
        <w:t>oneself</w:t>
      </w:r>
      <w:proofErr w:type="gramEnd"/>
    </w:p>
    <w:p w14:paraId="1CBCB430" w14:textId="77777777" w:rsidR="00FC0D2F" w:rsidRDefault="00FC0D2F" w:rsidP="00FC0D2F"/>
    <w:p w14:paraId="0E594685" w14:textId="77777777" w:rsidR="00FC0D2F" w:rsidRDefault="00FC0D2F" w:rsidP="00FC0D2F">
      <w:pPr>
        <w:pStyle w:val="ListParagraph"/>
        <w:numPr>
          <w:ilvl w:val="0"/>
          <w:numId w:val="1"/>
        </w:numPr>
      </w:pPr>
      <w:r>
        <w:t>Dressing, which includes selecting appropriate attire and putting it on</w:t>
      </w:r>
    </w:p>
    <w:p w14:paraId="11F30ED2" w14:textId="77777777" w:rsidR="00FC0D2F" w:rsidRDefault="00FC0D2F" w:rsidP="00FC0D2F"/>
    <w:p w14:paraId="348C521A" w14:textId="35D5EAFA" w:rsidR="00FC0D2F" w:rsidRDefault="001D7059" w:rsidP="00FC0D2F">
      <w:pPr>
        <w:pStyle w:val="ListParagraph"/>
        <w:numPr>
          <w:ilvl w:val="0"/>
          <w:numId w:val="1"/>
        </w:numPr>
      </w:pPr>
      <w:r>
        <w:t>Self-feeding</w:t>
      </w:r>
    </w:p>
    <w:p w14:paraId="23D3F0A2" w14:textId="77777777" w:rsidR="00581EE2" w:rsidRDefault="00581EE2" w:rsidP="00581EE2"/>
    <w:p w14:paraId="14C3424F" w14:textId="77777777" w:rsidR="00581EE2" w:rsidRDefault="00581EE2" w:rsidP="00581EE2"/>
    <w:p w14:paraId="31FC9A79" w14:textId="77777777" w:rsidR="00551602" w:rsidRDefault="00551602" w:rsidP="001D7059">
      <w:pPr>
        <w:jc w:val="center"/>
        <w:rPr>
          <w:b/>
        </w:rPr>
      </w:pPr>
    </w:p>
    <w:p w14:paraId="21D380CE" w14:textId="32EFBB99" w:rsidR="00581EE2" w:rsidRDefault="00581EE2" w:rsidP="001D7059">
      <w:pPr>
        <w:jc w:val="center"/>
        <w:rPr>
          <w:b/>
        </w:rPr>
      </w:pPr>
      <w:r>
        <w:rPr>
          <w:b/>
        </w:rPr>
        <w:lastRenderedPageBreak/>
        <w:t>POLICY STATEMENT</w:t>
      </w:r>
    </w:p>
    <w:p w14:paraId="4A0129D7" w14:textId="77777777" w:rsidR="00581EE2" w:rsidRDefault="00581EE2" w:rsidP="00581EE2">
      <w:pPr>
        <w:rPr>
          <w:b/>
        </w:rPr>
      </w:pPr>
    </w:p>
    <w:p w14:paraId="29AEF021" w14:textId="0935A3B7" w:rsidR="00581EE2" w:rsidRDefault="00581EE2" w:rsidP="00581EE2">
      <w:r>
        <w:t xml:space="preserve">There are certain arrangements that the Trust </w:t>
      </w:r>
      <w:r w:rsidR="00E86CFF">
        <w:t>will need</w:t>
      </w:r>
      <w:r w:rsidR="00AE1DAE">
        <w:t xml:space="preserve"> to set in place or </w:t>
      </w:r>
      <w:r>
        <w:t>strongly recommend to residents.</w:t>
      </w:r>
    </w:p>
    <w:p w14:paraId="373EDF5B" w14:textId="77777777" w:rsidR="00581EE2" w:rsidRDefault="00581EE2" w:rsidP="00581EE2"/>
    <w:p w14:paraId="020B76D6" w14:textId="4BE91D54" w:rsidR="00581EE2" w:rsidRPr="001D7059" w:rsidRDefault="00AE1DAE" w:rsidP="00581EE2">
      <w:pPr>
        <w:pStyle w:val="ListParagraph"/>
        <w:numPr>
          <w:ilvl w:val="0"/>
          <w:numId w:val="2"/>
        </w:numPr>
        <w:rPr>
          <w:b/>
          <w:bCs/>
        </w:rPr>
      </w:pPr>
      <w:r>
        <w:t>Residents</w:t>
      </w:r>
      <w:r w:rsidR="00C74806">
        <w:t xml:space="preserve"> are to</w:t>
      </w:r>
      <w:r w:rsidR="00581EE2">
        <w:t xml:space="preserve"> nominate a next of kin or close friend whom the Trustees may contact</w:t>
      </w:r>
      <w:r w:rsidR="00A22538">
        <w:t xml:space="preserve"> in case of need</w:t>
      </w:r>
      <w:r w:rsidR="00EC27B8">
        <w:t>.</w:t>
      </w:r>
      <w:r w:rsidR="00735B5E">
        <w:t xml:space="preserve">  </w:t>
      </w:r>
      <w:r w:rsidR="00735B5E" w:rsidRPr="001D7059">
        <w:rPr>
          <w:b/>
          <w:bCs/>
        </w:rPr>
        <w:t>This is included in the appointment of a resident</w:t>
      </w:r>
      <w:r w:rsidR="001D7059">
        <w:rPr>
          <w:b/>
          <w:bCs/>
        </w:rPr>
        <w:t xml:space="preserve"> and checked at Bi-Annual Visits.</w:t>
      </w:r>
    </w:p>
    <w:p w14:paraId="5D09B04D" w14:textId="77777777" w:rsidR="00EC27B8" w:rsidRDefault="00EC27B8" w:rsidP="00EC27B8">
      <w:pPr>
        <w:pStyle w:val="ListParagraph"/>
      </w:pPr>
    </w:p>
    <w:p w14:paraId="78E68A6C" w14:textId="42BEEF25" w:rsidR="00EC27B8" w:rsidRDefault="00735B5E" w:rsidP="00EC27B8">
      <w:pPr>
        <w:pStyle w:val="ListParagraph"/>
        <w:numPr>
          <w:ilvl w:val="0"/>
          <w:numId w:val="2"/>
        </w:numPr>
      </w:pPr>
      <w:r>
        <w:t>The Trust need</w:t>
      </w:r>
      <w:r w:rsidR="00551602">
        <w:t>s</w:t>
      </w:r>
      <w:r>
        <w:t xml:space="preserve"> to</w:t>
      </w:r>
      <w:r w:rsidR="00EC27B8">
        <w:t xml:space="preserve"> be advised of the name and address of the resident’s </w:t>
      </w:r>
      <w:r>
        <w:t>GP in</w:t>
      </w:r>
      <w:r w:rsidR="00EC27B8">
        <w:t xml:space="preserve"> a letter of authority enabling them to </w:t>
      </w:r>
      <w:r w:rsidR="001D7059">
        <w:t>contact</w:t>
      </w:r>
      <w:r w:rsidR="00EC27B8">
        <w:t xml:space="preserve"> the GP in case of need.</w:t>
      </w:r>
      <w:r>
        <w:t xml:space="preserve">  </w:t>
      </w:r>
      <w:r w:rsidRPr="001D7059">
        <w:rPr>
          <w:b/>
          <w:bCs/>
        </w:rPr>
        <w:t>This is included in the appointment of a resident.</w:t>
      </w:r>
    </w:p>
    <w:p w14:paraId="0CDA9BE1" w14:textId="77777777" w:rsidR="00A22538" w:rsidRDefault="00A22538" w:rsidP="00A22538"/>
    <w:p w14:paraId="4983B342" w14:textId="28A76F22" w:rsidR="003B7DFE" w:rsidRPr="00092D8A" w:rsidRDefault="00C94DFF" w:rsidP="00092D8A">
      <w:pPr>
        <w:pStyle w:val="ListParagraph"/>
        <w:numPr>
          <w:ilvl w:val="0"/>
          <w:numId w:val="2"/>
        </w:numPr>
      </w:pPr>
      <w:r>
        <w:t>Residents</w:t>
      </w:r>
      <w:r w:rsidR="00735B5E">
        <w:t xml:space="preserve"> will be advised to</w:t>
      </w:r>
      <w:r w:rsidR="00A22538">
        <w:t xml:space="preserve"> arrange for a Power of Attorney</w:t>
      </w:r>
      <w:r w:rsidR="00C74806">
        <w:t xml:space="preserve"> to be put in place. </w:t>
      </w:r>
      <w:r w:rsidR="008214DB">
        <w:t xml:space="preserve"> </w:t>
      </w:r>
      <w:r w:rsidR="005015C4">
        <w:t xml:space="preserve">There are two types of </w:t>
      </w:r>
      <w:r w:rsidR="008214DB">
        <w:t xml:space="preserve">Lasting Powers of Attorney </w:t>
      </w:r>
      <w:r w:rsidR="005015C4">
        <w:t>one</w:t>
      </w:r>
      <w:r w:rsidR="008214DB">
        <w:t xml:space="preserve"> </w:t>
      </w:r>
      <w:r w:rsidR="005015C4">
        <w:t>deals with</w:t>
      </w:r>
      <w:r w:rsidR="008214DB">
        <w:t xml:space="preserve"> Health</w:t>
      </w:r>
      <w:r w:rsidR="00C74806">
        <w:t xml:space="preserve"> </w:t>
      </w:r>
      <w:r w:rsidR="008214DB">
        <w:t xml:space="preserve">&amp; Welfare, and the other with Property &amp; Financial Affairs. </w:t>
      </w:r>
    </w:p>
    <w:p w14:paraId="15EFB05E" w14:textId="33DFB071" w:rsidR="008214DB" w:rsidRDefault="008214DB" w:rsidP="00EA1C9F">
      <w:pPr>
        <w:pStyle w:val="ListParagraph"/>
        <w:rPr>
          <w:rStyle w:val="Hyperlink"/>
        </w:rPr>
      </w:pPr>
      <w:r>
        <w:t xml:space="preserve">For guidance in this connection see </w:t>
      </w:r>
      <w:hyperlink r:id="rId7" w:history="1">
        <w:r w:rsidRPr="00F109B1">
          <w:rPr>
            <w:rStyle w:val="Hyperlink"/>
          </w:rPr>
          <w:t>http://www.gov.uk/power-of-attorney</w:t>
        </w:r>
      </w:hyperlink>
    </w:p>
    <w:p w14:paraId="46CEF253" w14:textId="513F62DF" w:rsidR="000F74AC" w:rsidRPr="000F74AC" w:rsidRDefault="000F74AC" w:rsidP="00EA1C9F">
      <w:pPr>
        <w:pStyle w:val="ListParagraph"/>
        <w:rPr>
          <w:b/>
          <w:bCs/>
          <w:color w:val="000000" w:themeColor="text1"/>
        </w:rPr>
      </w:pPr>
      <w:r>
        <w:rPr>
          <w:rStyle w:val="Hyperlink"/>
          <w:b/>
          <w:bCs/>
          <w:color w:val="000000" w:themeColor="text1"/>
          <w:u w:val="none"/>
        </w:rPr>
        <w:t>This is included in the Residents’ Handbook.</w:t>
      </w:r>
    </w:p>
    <w:p w14:paraId="7FD2998C" w14:textId="77777777" w:rsidR="00A22538" w:rsidRDefault="00A22538" w:rsidP="00A22538"/>
    <w:p w14:paraId="1C15F7AA" w14:textId="66052555" w:rsidR="003B7DFE" w:rsidRDefault="00A22538" w:rsidP="00092D8A">
      <w:pPr>
        <w:pStyle w:val="ListParagraph"/>
        <w:numPr>
          <w:ilvl w:val="0"/>
          <w:numId w:val="2"/>
        </w:numPr>
      </w:pPr>
      <w:r>
        <w:t>Residents should be strongly encouraged to make a Will</w:t>
      </w:r>
      <w:r w:rsidR="00092D8A">
        <w:t>.</w:t>
      </w:r>
    </w:p>
    <w:p w14:paraId="0E90D318" w14:textId="2E1602C6" w:rsidR="000F74AC" w:rsidRPr="000F74AC" w:rsidRDefault="000F74AC" w:rsidP="000F74AC">
      <w:pPr>
        <w:pStyle w:val="ListParagraph"/>
        <w:rPr>
          <w:b/>
          <w:bCs/>
        </w:rPr>
      </w:pPr>
      <w:r>
        <w:rPr>
          <w:b/>
          <w:bCs/>
        </w:rPr>
        <w:t>This is included in the Residents’ Handbook.</w:t>
      </w:r>
    </w:p>
    <w:p w14:paraId="250381A3" w14:textId="77777777" w:rsidR="00A22538" w:rsidRDefault="00A22538" w:rsidP="00A22538"/>
    <w:p w14:paraId="2B8AE8FE" w14:textId="77777777" w:rsidR="00092D8A" w:rsidRDefault="00092D8A" w:rsidP="00A22538"/>
    <w:p w14:paraId="618C0803" w14:textId="3632C6B7" w:rsidR="00A22538" w:rsidRDefault="006A5E11" w:rsidP="006A5E11">
      <w:pPr>
        <w:jc w:val="both"/>
        <w:rPr>
          <w:b/>
          <w:bCs/>
        </w:rPr>
      </w:pPr>
      <w:r>
        <w:rPr>
          <w:b/>
          <w:bCs/>
        </w:rPr>
        <w:t>INCREASED FRA</w:t>
      </w:r>
      <w:r w:rsidR="00092D8A">
        <w:rPr>
          <w:b/>
          <w:bCs/>
        </w:rPr>
        <w:t>IL</w:t>
      </w:r>
      <w:r>
        <w:rPr>
          <w:b/>
          <w:bCs/>
        </w:rPr>
        <w:t>TY</w:t>
      </w:r>
    </w:p>
    <w:p w14:paraId="18E20BAE" w14:textId="77777777" w:rsidR="006A5E11" w:rsidRDefault="006A5E11" w:rsidP="006A5E11">
      <w:pPr>
        <w:jc w:val="both"/>
        <w:rPr>
          <w:b/>
          <w:bCs/>
        </w:rPr>
      </w:pPr>
    </w:p>
    <w:p w14:paraId="59FE6553" w14:textId="341E5842" w:rsidR="006A5E11" w:rsidRDefault="006A5E11" w:rsidP="006A5E11">
      <w:pPr>
        <w:jc w:val="both"/>
      </w:pPr>
      <w:r>
        <w:t xml:space="preserve">If the Trustees believe that the resident is reaching a stage where it is considered that they can no longer live </w:t>
      </w:r>
      <w:r w:rsidR="00A05566">
        <w:t>independently</w:t>
      </w:r>
      <w:r>
        <w:t xml:space="preserve"> two Trustees from Appointments &amp; Welfare should meet with the resident and/or with the next of kin to explore a way forward.  The position should be confirmed in writing to the resident and the next of kin suggesting a timetable when the next steps should be taken.</w:t>
      </w:r>
    </w:p>
    <w:p w14:paraId="335019C8" w14:textId="77774E60" w:rsidR="006A5E11" w:rsidRPr="006A5E11" w:rsidRDefault="006A5E11" w:rsidP="006A5E11">
      <w:pPr>
        <w:jc w:val="both"/>
        <w:rPr>
          <w:b/>
          <w:bCs/>
        </w:rPr>
      </w:pPr>
      <w:r>
        <w:rPr>
          <w:b/>
          <w:bCs/>
        </w:rPr>
        <w:t>The Trust must keep written and dated records of all actions, telephone calls, conversations, incidents that occur regarding any resident who they consider having increasing care needs.</w:t>
      </w:r>
    </w:p>
    <w:p w14:paraId="541C3EBE" w14:textId="77777777" w:rsidR="00A22538" w:rsidRDefault="00A22538" w:rsidP="00A22538">
      <w:pPr>
        <w:rPr>
          <w:b/>
        </w:rPr>
      </w:pPr>
    </w:p>
    <w:p w14:paraId="79FA5788" w14:textId="6D2086E6" w:rsidR="00D71AF6" w:rsidRDefault="00A22538" w:rsidP="00D71AF6">
      <w:r>
        <w:t xml:space="preserve">In the case of a resident </w:t>
      </w:r>
      <w:r w:rsidR="00416CC0">
        <w:t xml:space="preserve">experiencing increased frailty every effort should be made to find a way </w:t>
      </w:r>
      <w:r w:rsidR="00E86CFF">
        <w:t>forward, which</w:t>
      </w:r>
      <w:r w:rsidR="00416CC0">
        <w:t xml:space="preserve"> might involve Social Services. </w:t>
      </w:r>
    </w:p>
    <w:p w14:paraId="13FD06F4" w14:textId="5F935ADA" w:rsidR="00D71AF6" w:rsidRDefault="00D71AF6" w:rsidP="00D71AF6">
      <w:r w:rsidRPr="005F1399">
        <w:rPr>
          <w:b/>
          <w:bCs/>
        </w:rPr>
        <w:t>Trustees should be aware that a Social Services Assessment of Needs can be requested by the resident or their family or any concerned party including the Trust by con</w:t>
      </w:r>
      <w:r w:rsidR="00E86CFF" w:rsidRPr="005F1399">
        <w:rPr>
          <w:b/>
          <w:bCs/>
        </w:rPr>
        <w:t>tacting the Adult Social Needs D</w:t>
      </w:r>
      <w:r w:rsidRPr="005F1399">
        <w:rPr>
          <w:b/>
          <w:bCs/>
        </w:rPr>
        <w:t>esk at Tewkesbury B</w:t>
      </w:r>
      <w:r w:rsidR="003B7DFE" w:rsidRPr="005F1399">
        <w:rPr>
          <w:b/>
          <w:bCs/>
        </w:rPr>
        <w:t>orough Council.</w:t>
      </w:r>
      <w:r>
        <w:t xml:space="preserve">  Where appropriate the resident’s family should be encouraged to apply.   </w:t>
      </w:r>
    </w:p>
    <w:p w14:paraId="249B8080" w14:textId="77777777" w:rsidR="00A05566" w:rsidRDefault="00A05566" w:rsidP="00A05566"/>
    <w:p w14:paraId="7C9D741B" w14:textId="1CD1848A" w:rsidR="00A05566" w:rsidRDefault="00A05566" w:rsidP="00A05566">
      <w:r>
        <w:t xml:space="preserve">Trustees should speak to </w:t>
      </w:r>
      <w:proofErr w:type="spellStart"/>
      <w:r>
        <w:t>neighbours</w:t>
      </w:r>
      <w:proofErr w:type="spellEnd"/>
      <w:r w:rsidR="00551602">
        <w:t>,</w:t>
      </w:r>
      <w:r>
        <w:t xml:space="preserve"> when appropriate</w:t>
      </w:r>
      <w:r w:rsidR="00551602">
        <w:t xml:space="preserve">, </w:t>
      </w:r>
      <w:r>
        <w:t>about whether they have any concerns, what their concerns are and whether it is impacting unreasonably upon them.  The Trustees should enquire if there are ways in which the Trust might help.</w:t>
      </w:r>
    </w:p>
    <w:p w14:paraId="6D006C92" w14:textId="77777777" w:rsidR="00D71AF6" w:rsidRDefault="00D71AF6" w:rsidP="00D71AF6"/>
    <w:p w14:paraId="5A9FEF31" w14:textId="2FA1F586" w:rsidR="00A22538" w:rsidRDefault="00416CC0" w:rsidP="00A22538">
      <w:r>
        <w:lastRenderedPageBreak/>
        <w:t>W</w:t>
      </w:r>
      <w:r w:rsidR="00A22538">
        <w:t xml:space="preserve">here practical Trustees will </w:t>
      </w:r>
      <w:proofErr w:type="spellStart"/>
      <w:r w:rsidR="00A22538">
        <w:t>endeavo</w:t>
      </w:r>
      <w:r w:rsidR="003B7DFE">
        <w:t>ur</w:t>
      </w:r>
      <w:proofErr w:type="spellEnd"/>
      <w:r w:rsidR="003B7DFE">
        <w:t xml:space="preserve"> to </w:t>
      </w:r>
      <w:proofErr w:type="spellStart"/>
      <w:r w:rsidR="003B7DFE">
        <w:t>authoris</w:t>
      </w:r>
      <w:r w:rsidR="00A22538">
        <w:t>e</w:t>
      </w:r>
      <w:proofErr w:type="spellEnd"/>
      <w:r w:rsidR="00A22538">
        <w:t xml:space="preserve"> adaptations to </w:t>
      </w:r>
      <w:r w:rsidR="00D55C78">
        <w:t>the almshouse to make life easier.  However, Trustees should inform residents that permission must be sought on all occasions before any adaptations are made.  If a Care Package is needed</w:t>
      </w:r>
      <w:r w:rsidR="003B7DFE">
        <w:t>,</w:t>
      </w:r>
      <w:r w:rsidR="00D55C78">
        <w:t xml:space="preserve"> again Trustees should be informed accordingly.  </w:t>
      </w:r>
    </w:p>
    <w:p w14:paraId="70DFA789" w14:textId="77777777" w:rsidR="00D55C78" w:rsidRDefault="00D55C78" w:rsidP="00A22538"/>
    <w:p w14:paraId="58DE7DE5" w14:textId="12BB8B98" w:rsidR="00D71AF6" w:rsidRPr="005F1399" w:rsidRDefault="00D71AF6" w:rsidP="00A22538">
      <w:pPr>
        <w:rPr>
          <w:b/>
          <w:bCs/>
        </w:rPr>
      </w:pPr>
      <w:r>
        <w:t xml:space="preserve">Trustees should not prevent a resident from returning home to their almshouse if, for example, they have been a patient in a hospital, even if they feel the resident can no longer cope.  </w:t>
      </w:r>
      <w:r w:rsidRPr="005F1399">
        <w:rPr>
          <w:b/>
          <w:bCs/>
        </w:rPr>
        <w:t>They must follow the due process and take legal advice.</w:t>
      </w:r>
    </w:p>
    <w:p w14:paraId="7958C224" w14:textId="77777777" w:rsidR="00D71AF6" w:rsidRDefault="00D71AF6" w:rsidP="00A22538"/>
    <w:p w14:paraId="5D1CD8AF" w14:textId="77777777" w:rsidR="00D71AF6" w:rsidRDefault="00D71AF6" w:rsidP="00A22538"/>
    <w:p w14:paraId="4F2B2782" w14:textId="701D67A1" w:rsidR="00D55C78" w:rsidRDefault="00D71AF6" w:rsidP="00A22538">
      <w:r>
        <w:t>I</w:t>
      </w:r>
      <w:r w:rsidR="00D55C78">
        <w:t>f increased frailty or ill health makes it impossible for a resident to</w:t>
      </w:r>
      <w:r w:rsidR="008624CB">
        <w:t xml:space="preserve"> continue to live independently</w:t>
      </w:r>
      <w:r w:rsidR="003B6B67">
        <w:t xml:space="preserve"> </w:t>
      </w:r>
      <w:proofErr w:type="gramStart"/>
      <w:r w:rsidR="003B6B67">
        <w:rPr>
          <w:b/>
          <w:bCs/>
        </w:rPr>
        <w:t>i.e.</w:t>
      </w:r>
      <w:proofErr w:type="gramEnd"/>
      <w:r w:rsidR="003B6B67">
        <w:rPr>
          <w:b/>
          <w:bCs/>
        </w:rPr>
        <w:t xml:space="preserve"> when they are perceived to be in danger either to themselves and/or others, </w:t>
      </w:r>
      <w:r w:rsidR="008624CB">
        <w:t>Trustees may feel it necessary to request the resident to move to more appropriate accommodation</w:t>
      </w:r>
      <w:r w:rsidR="003B6B67">
        <w:t xml:space="preserve"> where care is provided and in extreme circumstances to terminate the appointment</w:t>
      </w:r>
      <w:r w:rsidR="00DF50A7">
        <w:t xml:space="preserve">. </w:t>
      </w:r>
      <w:r w:rsidR="005A23EE" w:rsidRPr="005A23EE">
        <w:rPr>
          <w:b/>
          <w:bCs/>
        </w:rPr>
        <w:t xml:space="preserve"> </w:t>
      </w:r>
      <w:r w:rsidR="008624CB">
        <w:t>This should</w:t>
      </w:r>
      <w:r>
        <w:t xml:space="preserve"> only be done after full consul</w:t>
      </w:r>
      <w:r w:rsidR="00D55C78">
        <w:t>tation with the resident, their relatives and if applicable me</w:t>
      </w:r>
      <w:r w:rsidR="008624CB">
        <w:t xml:space="preserve">dical </w:t>
      </w:r>
      <w:r w:rsidR="005A23EE">
        <w:t>practitioners.</w:t>
      </w:r>
      <w:r w:rsidR="008624CB">
        <w:t xml:space="preserve"> </w:t>
      </w:r>
      <w:r w:rsidR="00416CC0">
        <w:t xml:space="preserve"> This </w:t>
      </w:r>
      <w:r w:rsidR="00E86CFF">
        <w:t>transition</w:t>
      </w:r>
      <w:r w:rsidR="00416CC0">
        <w:t xml:space="preserve"> should be made as easy as possible for the resident.</w:t>
      </w:r>
      <w:r w:rsidR="0002166A" w:rsidRPr="0002166A">
        <w:rPr>
          <w:b/>
          <w:bCs/>
        </w:rPr>
        <w:t xml:space="preserve"> </w:t>
      </w:r>
      <w:r w:rsidR="0002166A">
        <w:rPr>
          <w:b/>
          <w:bCs/>
        </w:rPr>
        <w:t xml:space="preserve">Trustees should ensure that they make it clear to third parties that they are not responsible for the resident’s care and take care to only give appropriate help outlined here so as not to encourage residents to remain, when it is not in their best interest to do so. </w:t>
      </w:r>
      <w:r w:rsidR="0002166A">
        <w:t xml:space="preserve"> </w:t>
      </w:r>
    </w:p>
    <w:p w14:paraId="6018DDD9" w14:textId="4B2D01BF" w:rsidR="00E7589C" w:rsidRDefault="00E7589C" w:rsidP="00A22538"/>
    <w:p w14:paraId="3503A739" w14:textId="77777777" w:rsidR="00D55C78" w:rsidRDefault="00D55C78" w:rsidP="00A22538"/>
    <w:p w14:paraId="683303EE" w14:textId="2261431D" w:rsidR="00D55C78" w:rsidRPr="005F1399" w:rsidRDefault="00D55C78" w:rsidP="00A22538">
      <w:pPr>
        <w:rPr>
          <w:b/>
          <w:bCs/>
        </w:rPr>
      </w:pPr>
      <w:r>
        <w:t>Setting aside a resident</w:t>
      </w:r>
      <w:r w:rsidR="005F1399">
        <w:t>’s</w:t>
      </w:r>
      <w:r>
        <w:t xml:space="preserve"> appointment should be regarded as being the absolute last resort when all efforts to remedy the situation have failed.  </w:t>
      </w:r>
      <w:r w:rsidRPr="005F1399">
        <w:rPr>
          <w:b/>
          <w:bCs/>
        </w:rPr>
        <w:t xml:space="preserve">The Almshouse Association strongly advises that </w:t>
      </w:r>
      <w:r w:rsidR="00B7293A" w:rsidRPr="005F1399">
        <w:rPr>
          <w:b/>
          <w:bCs/>
        </w:rPr>
        <w:t>legal advice should be taken.  They</w:t>
      </w:r>
      <w:r w:rsidR="00D71AF6" w:rsidRPr="005F1399">
        <w:rPr>
          <w:b/>
          <w:bCs/>
        </w:rPr>
        <w:t xml:space="preserve"> </w:t>
      </w:r>
      <w:r w:rsidRPr="005F1399">
        <w:rPr>
          <w:b/>
          <w:bCs/>
        </w:rPr>
        <w:t>recommend</w:t>
      </w:r>
      <w:r w:rsidR="00D71AF6" w:rsidRPr="005F1399">
        <w:rPr>
          <w:b/>
          <w:bCs/>
        </w:rPr>
        <w:t xml:space="preserve"> that</w:t>
      </w:r>
      <w:r w:rsidR="00B7293A" w:rsidRPr="005F1399">
        <w:rPr>
          <w:b/>
          <w:bCs/>
        </w:rPr>
        <w:t xml:space="preserve"> the Trust contact</w:t>
      </w:r>
      <w:r w:rsidRPr="005F1399">
        <w:rPr>
          <w:b/>
          <w:bCs/>
        </w:rPr>
        <w:t xml:space="preserve"> a s</w:t>
      </w:r>
      <w:r w:rsidR="00B7293A" w:rsidRPr="005F1399">
        <w:rPr>
          <w:b/>
          <w:bCs/>
        </w:rPr>
        <w:t xml:space="preserve">olicitor who not only </w:t>
      </w:r>
      <w:proofErr w:type="spellStart"/>
      <w:r w:rsidR="00E86CFF" w:rsidRPr="005F1399">
        <w:rPr>
          <w:b/>
          <w:bCs/>
        </w:rPr>
        <w:t>specialises</w:t>
      </w:r>
      <w:proofErr w:type="spellEnd"/>
      <w:r w:rsidRPr="005F1399">
        <w:rPr>
          <w:b/>
          <w:bCs/>
        </w:rPr>
        <w:t xml:space="preserve"> in charity law but also has </w:t>
      </w:r>
      <w:r w:rsidR="00E86CFF" w:rsidRPr="005F1399">
        <w:rPr>
          <w:b/>
          <w:bCs/>
        </w:rPr>
        <w:t>knowledge</w:t>
      </w:r>
      <w:r w:rsidRPr="005F1399">
        <w:rPr>
          <w:b/>
          <w:bCs/>
        </w:rPr>
        <w:t xml:space="preserve"> of almshouse charities.</w:t>
      </w:r>
    </w:p>
    <w:p w14:paraId="082AB395" w14:textId="77777777" w:rsidR="00E7589C" w:rsidRPr="005F1399" w:rsidRDefault="00E7589C" w:rsidP="00A22538">
      <w:pPr>
        <w:rPr>
          <w:b/>
          <w:bCs/>
        </w:rPr>
      </w:pPr>
    </w:p>
    <w:p w14:paraId="693800BE" w14:textId="10EB60E8" w:rsidR="00E7589C" w:rsidRDefault="00B7293A" w:rsidP="00A22538">
      <w:pPr>
        <w:rPr>
          <w:b/>
          <w:bCs/>
        </w:rPr>
      </w:pPr>
      <w:r w:rsidRPr="005F1399">
        <w:rPr>
          <w:b/>
          <w:bCs/>
        </w:rPr>
        <w:t>The Trust must keep w</w:t>
      </w:r>
      <w:r w:rsidR="00E7589C" w:rsidRPr="005F1399">
        <w:rPr>
          <w:b/>
          <w:bCs/>
        </w:rPr>
        <w:t>ritten and dated records of all actions, telephone calls, conversations, incidents</w:t>
      </w:r>
      <w:r w:rsidR="00EC27B8" w:rsidRPr="005F1399">
        <w:rPr>
          <w:b/>
          <w:bCs/>
        </w:rPr>
        <w:t xml:space="preserve"> that</w:t>
      </w:r>
      <w:r w:rsidRPr="005F1399">
        <w:rPr>
          <w:b/>
          <w:bCs/>
        </w:rPr>
        <w:t xml:space="preserve"> occur regarding any resident who they conside</w:t>
      </w:r>
      <w:r w:rsidR="005F1399" w:rsidRPr="005F1399">
        <w:rPr>
          <w:b/>
          <w:bCs/>
        </w:rPr>
        <w:t>r may have to leave their Almshouse.</w:t>
      </w:r>
    </w:p>
    <w:p w14:paraId="1B8B093A" w14:textId="5EFDCCC4" w:rsidR="00DF50A7" w:rsidRDefault="00DF50A7" w:rsidP="00A22538">
      <w:pPr>
        <w:rPr>
          <w:b/>
          <w:bCs/>
        </w:rPr>
      </w:pPr>
    </w:p>
    <w:p w14:paraId="6AA78B88" w14:textId="7A7A9D92" w:rsidR="00DF50A7" w:rsidRPr="005F1399" w:rsidRDefault="00DF50A7" w:rsidP="00A22538">
      <w:pPr>
        <w:rPr>
          <w:b/>
          <w:bCs/>
        </w:rPr>
      </w:pPr>
      <w:r>
        <w:rPr>
          <w:b/>
          <w:bCs/>
        </w:rPr>
        <w:t>THE FUTURE</w:t>
      </w:r>
    </w:p>
    <w:p w14:paraId="1B49A71E" w14:textId="77777777" w:rsidR="004F3526" w:rsidRPr="005A23EE" w:rsidRDefault="004F3526" w:rsidP="00A22538">
      <w:pPr>
        <w:rPr>
          <w:b/>
          <w:bCs/>
        </w:rPr>
      </w:pPr>
    </w:p>
    <w:p w14:paraId="739CF4F9" w14:textId="511B9603" w:rsidR="004F3526" w:rsidRPr="00A22538" w:rsidRDefault="004F3526" w:rsidP="00A22538">
      <w:r w:rsidRPr="0002166A">
        <w:t>In terms of</w:t>
      </w:r>
      <w:r w:rsidR="00D71AF6" w:rsidRPr="0002166A">
        <w:t xml:space="preserve"> considering</w:t>
      </w:r>
      <w:r w:rsidRPr="0002166A">
        <w:t xml:space="preserve"> Increasing Care Needs the Trust needs to anticipate that safety and ease of access will be a key requirement for all residents regardless of care needs.</w:t>
      </w:r>
      <w:r w:rsidRPr="005A23EE">
        <w:rPr>
          <w:b/>
          <w:bCs/>
        </w:rPr>
        <w:t xml:space="preserve">  This will be</w:t>
      </w:r>
      <w:r w:rsidR="00250E57" w:rsidRPr="005A23EE">
        <w:rPr>
          <w:b/>
          <w:bCs/>
        </w:rPr>
        <w:t xml:space="preserve"> of</w:t>
      </w:r>
      <w:r w:rsidRPr="005A23EE">
        <w:rPr>
          <w:b/>
          <w:bCs/>
        </w:rPr>
        <w:t xml:space="preserve"> paramount</w:t>
      </w:r>
      <w:r w:rsidR="00250E57" w:rsidRPr="005A23EE">
        <w:rPr>
          <w:b/>
          <w:bCs/>
        </w:rPr>
        <w:t xml:space="preserve"> importance</w:t>
      </w:r>
      <w:r w:rsidRPr="005A23EE">
        <w:rPr>
          <w:b/>
          <w:bCs/>
        </w:rPr>
        <w:t xml:space="preserve"> in any future design c</w:t>
      </w:r>
      <w:r w:rsidRPr="005F1399">
        <w:rPr>
          <w:b/>
          <w:bCs/>
        </w:rPr>
        <w:t xml:space="preserve">hanges and </w:t>
      </w:r>
      <w:proofErr w:type="spellStart"/>
      <w:r w:rsidRPr="005F1399">
        <w:rPr>
          <w:b/>
          <w:bCs/>
        </w:rPr>
        <w:t>moderni</w:t>
      </w:r>
      <w:r w:rsidR="00092D8A">
        <w:rPr>
          <w:b/>
          <w:bCs/>
        </w:rPr>
        <w:t>s</w:t>
      </w:r>
      <w:r w:rsidRPr="005F1399">
        <w:rPr>
          <w:b/>
          <w:bCs/>
        </w:rPr>
        <w:t>ation</w:t>
      </w:r>
      <w:proofErr w:type="spellEnd"/>
      <w:r w:rsidRPr="005F1399">
        <w:rPr>
          <w:b/>
          <w:bCs/>
        </w:rPr>
        <w:t xml:space="preserve"> of almshouse accommodation</w:t>
      </w:r>
      <w:r>
        <w:t>.</w:t>
      </w:r>
    </w:p>
    <w:sectPr w:rsidR="004F3526" w:rsidRPr="00A22538" w:rsidSect="00C74F0F">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594A" w14:textId="77777777" w:rsidR="000819D7" w:rsidRDefault="000819D7" w:rsidP="00E41817">
      <w:r>
        <w:separator/>
      </w:r>
    </w:p>
  </w:endnote>
  <w:endnote w:type="continuationSeparator" w:id="0">
    <w:p w14:paraId="5361EBD8" w14:textId="77777777" w:rsidR="000819D7" w:rsidRDefault="000819D7" w:rsidP="00E4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B34E" w14:textId="77777777" w:rsidR="003B7DFE" w:rsidRDefault="003B7DFE" w:rsidP="00735B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AA81D1" w14:textId="77777777" w:rsidR="003B7DFE" w:rsidRDefault="003B7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F69F" w14:textId="77777777" w:rsidR="003B7DFE" w:rsidRDefault="003B7DFE" w:rsidP="00735B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14DB">
      <w:rPr>
        <w:rStyle w:val="PageNumber"/>
        <w:noProof/>
      </w:rPr>
      <w:t>1</w:t>
    </w:r>
    <w:r>
      <w:rPr>
        <w:rStyle w:val="PageNumber"/>
      </w:rPr>
      <w:fldChar w:fldCharType="end"/>
    </w:r>
  </w:p>
  <w:p w14:paraId="19E7FFEA" w14:textId="77777777" w:rsidR="003B7DFE" w:rsidRDefault="003B7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DE9BC" w14:textId="77777777" w:rsidR="000819D7" w:rsidRDefault="000819D7" w:rsidP="00E41817">
      <w:r>
        <w:separator/>
      </w:r>
    </w:p>
  </w:footnote>
  <w:footnote w:type="continuationSeparator" w:id="0">
    <w:p w14:paraId="55688C80" w14:textId="77777777" w:rsidR="000819D7" w:rsidRDefault="000819D7" w:rsidP="00E41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D7C35"/>
    <w:multiLevelType w:val="hybridMultilevel"/>
    <w:tmpl w:val="B8EE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4791F"/>
    <w:multiLevelType w:val="hybridMultilevel"/>
    <w:tmpl w:val="CC78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6056615">
    <w:abstractNumId w:val="0"/>
  </w:num>
  <w:num w:numId="2" w16cid:durableId="1881550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E3"/>
    <w:rsid w:val="0002166A"/>
    <w:rsid w:val="000819D7"/>
    <w:rsid w:val="00092D8A"/>
    <w:rsid w:val="000F74AC"/>
    <w:rsid w:val="001D7059"/>
    <w:rsid w:val="00250E57"/>
    <w:rsid w:val="00284E2A"/>
    <w:rsid w:val="00293A95"/>
    <w:rsid w:val="00362569"/>
    <w:rsid w:val="003A720E"/>
    <w:rsid w:val="003B6B67"/>
    <w:rsid w:val="003B7DFE"/>
    <w:rsid w:val="00416CC0"/>
    <w:rsid w:val="00450E17"/>
    <w:rsid w:val="004F3526"/>
    <w:rsid w:val="005015C4"/>
    <w:rsid w:val="00551602"/>
    <w:rsid w:val="00581EE2"/>
    <w:rsid w:val="005A23EE"/>
    <w:rsid w:val="005F1399"/>
    <w:rsid w:val="00652007"/>
    <w:rsid w:val="006A5E11"/>
    <w:rsid w:val="00710292"/>
    <w:rsid w:val="00735B5E"/>
    <w:rsid w:val="008214DB"/>
    <w:rsid w:val="008624CB"/>
    <w:rsid w:val="009679B6"/>
    <w:rsid w:val="009C4372"/>
    <w:rsid w:val="009C5721"/>
    <w:rsid w:val="009D0258"/>
    <w:rsid w:val="00A05566"/>
    <w:rsid w:val="00A22538"/>
    <w:rsid w:val="00AC651E"/>
    <w:rsid w:val="00AE02E3"/>
    <w:rsid w:val="00AE1DAE"/>
    <w:rsid w:val="00B374D5"/>
    <w:rsid w:val="00B636F8"/>
    <w:rsid w:val="00B7293A"/>
    <w:rsid w:val="00C74806"/>
    <w:rsid w:val="00C74F0F"/>
    <w:rsid w:val="00C94DFF"/>
    <w:rsid w:val="00D55C78"/>
    <w:rsid w:val="00D71AF6"/>
    <w:rsid w:val="00DF50A7"/>
    <w:rsid w:val="00E41817"/>
    <w:rsid w:val="00E7589C"/>
    <w:rsid w:val="00E86CFF"/>
    <w:rsid w:val="00EA1C9F"/>
    <w:rsid w:val="00EC27B8"/>
    <w:rsid w:val="00FB4DAF"/>
    <w:rsid w:val="00FC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05FCE"/>
  <w14:defaultImageDpi w14:val="300"/>
  <w15:docId w15:val="{D8592540-E4A0-A847-B890-512166C8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D2F"/>
    <w:pPr>
      <w:ind w:left="720"/>
      <w:contextualSpacing/>
    </w:pPr>
  </w:style>
  <w:style w:type="table" w:styleId="TableGrid">
    <w:name w:val="Table Grid"/>
    <w:basedOn w:val="TableNormal"/>
    <w:uiPriority w:val="59"/>
    <w:rsid w:val="00E41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1817"/>
    <w:pPr>
      <w:tabs>
        <w:tab w:val="center" w:pos="4320"/>
        <w:tab w:val="right" w:pos="8640"/>
      </w:tabs>
    </w:pPr>
  </w:style>
  <w:style w:type="character" w:customStyle="1" w:styleId="FooterChar">
    <w:name w:val="Footer Char"/>
    <w:basedOn w:val="DefaultParagraphFont"/>
    <w:link w:val="Footer"/>
    <w:uiPriority w:val="99"/>
    <w:rsid w:val="00E41817"/>
  </w:style>
  <w:style w:type="character" w:styleId="PageNumber">
    <w:name w:val="page number"/>
    <w:basedOn w:val="DefaultParagraphFont"/>
    <w:uiPriority w:val="99"/>
    <w:semiHidden/>
    <w:unhideWhenUsed/>
    <w:rsid w:val="00E41817"/>
  </w:style>
  <w:style w:type="character" w:styleId="Hyperlink">
    <w:name w:val="Hyperlink"/>
    <w:basedOn w:val="DefaultParagraphFont"/>
    <w:uiPriority w:val="99"/>
    <w:unhideWhenUsed/>
    <w:rsid w:val="00821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51472">
      <w:bodyDiv w:val="1"/>
      <w:marLeft w:val="0"/>
      <w:marRight w:val="0"/>
      <w:marTop w:val="0"/>
      <w:marBottom w:val="0"/>
      <w:divBdr>
        <w:top w:val="none" w:sz="0" w:space="0" w:color="auto"/>
        <w:left w:val="none" w:sz="0" w:space="0" w:color="auto"/>
        <w:bottom w:val="none" w:sz="0" w:space="0" w:color="auto"/>
        <w:right w:val="none" w:sz="0" w:space="0" w:color="auto"/>
      </w:divBdr>
      <w:divsChild>
        <w:div w:id="11832793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v.uk/power-of-attorn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957</Words>
  <Characters>5458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Cove</dc:creator>
  <cp:keywords/>
  <dc:description/>
  <cp:lastModifiedBy>martin blackwell</cp:lastModifiedBy>
  <cp:revision>2</cp:revision>
  <cp:lastPrinted>2023-11-06T08:57:00Z</cp:lastPrinted>
  <dcterms:created xsi:type="dcterms:W3CDTF">2023-11-08T09:18:00Z</dcterms:created>
  <dcterms:modified xsi:type="dcterms:W3CDTF">2023-11-08T09:18:00Z</dcterms:modified>
</cp:coreProperties>
</file>